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B2A1D">
      <w:pPr>
        <w:pStyle w:val="12"/>
        <w:tabs>
          <w:tab w:val="left" w:pos="1843"/>
        </w:tabs>
        <w:ind w:firstLine="0" w:firstLineChars="0"/>
        <w:rPr>
          <w:rFonts w:ascii="黑体" w:hAnsi="黑体" w:eastAsia="黑体"/>
          <w:sz w:val="32"/>
          <w:szCs w:val="32"/>
        </w:rPr>
      </w:pPr>
      <w:r>
        <w:rPr>
          <w:rFonts w:hint="eastAsia" w:ascii="黑体" w:hAnsi="黑体" w:eastAsia="黑体"/>
          <w:sz w:val="32"/>
          <w:szCs w:val="32"/>
        </w:rPr>
        <w:t>附件2</w:t>
      </w:r>
    </w:p>
    <w:p w14:paraId="09CB74FA">
      <w:pPr>
        <w:pStyle w:val="12"/>
        <w:tabs>
          <w:tab w:val="left" w:pos="1843"/>
        </w:tabs>
        <w:ind w:firstLine="0" w:firstLineChars="0"/>
        <w:rPr>
          <w:rFonts w:ascii="黑体" w:hAnsi="黑体" w:eastAsia="黑体"/>
          <w:sz w:val="32"/>
          <w:szCs w:val="32"/>
        </w:rPr>
      </w:pPr>
    </w:p>
    <w:p w14:paraId="5D535783">
      <w:pPr>
        <w:widowControl/>
        <w:adjustRightInd/>
        <w:spacing w:line="580" w:lineRule="exact"/>
        <w:jc w:val="center"/>
        <w:rPr>
          <w:rFonts w:ascii="黑体" w:hAnsi="黑体" w:eastAsia="黑体"/>
          <w:sz w:val="32"/>
          <w:szCs w:val="32"/>
        </w:rPr>
      </w:pPr>
      <w:r>
        <w:rPr>
          <w:rFonts w:hint="eastAsia" w:ascii="宋体" w:hAnsi="宋体"/>
          <w:b/>
          <w:sz w:val="40"/>
          <w:szCs w:val="40"/>
        </w:rPr>
        <w:t>T</w:t>
      </w:r>
      <w:r>
        <w:rPr>
          <w:rFonts w:hint="eastAsia" w:ascii="宋体" w:hAnsi="宋体" w:eastAsia="宋体" w:cs="Times New Roman"/>
          <w:b/>
          <w:sz w:val="40"/>
          <w:szCs w:val="40"/>
        </w:rPr>
        <w:t xml:space="preserve">/ZZB </w:t>
      </w:r>
      <w:r>
        <w:rPr>
          <w:rFonts w:hint="eastAsia" w:ascii="宋体" w:hAnsi="宋体" w:eastAsia="宋体" w:cs="Times New Roman"/>
          <w:b/>
          <w:sz w:val="40"/>
          <w:szCs w:val="40"/>
          <w:lang w:val="en-US" w:eastAsia="zh-CN"/>
        </w:rPr>
        <w:t>3055—2023《</w:t>
      </w:r>
      <w:r>
        <w:rPr>
          <w:rFonts w:hint="eastAsia" w:ascii="宋体" w:hAnsi="宋体" w:eastAsia="宋体" w:cs="Times New Roman"/>
          <w:b/>
          <w:sz w:val="40"/>
          <w:szCs w:val="40"/>
        </w:rPr>
        <w:t>电动自行车用充电器》</w:t>
      </w:r>
    </w:p>
    <w:p w14:paraId="61511B5F">
      <w:pPr>
        <w:pStyle w:val="12"/>
        <w:tabs>
          <w:tab w:val="left" w:pos="1843"/>
        </w:tabs>
        <w:spacing w:line="360" w:lineRule="auto"/>
        <w:ind w:firstLine="0" w:firstLineChars="0"/>
        <w:jc w:val="center"/>
        <w:rPr>
          <w:rFonts w:ascii="宋体" w:hAnsi="宋体"/>
          <w:b/>
          <w:sz w:val="40"/>
          <w:szCs w:val="40"/>
        </w:rPr>
      </w:pPr>
      <w:r>
        <w:rPr>
          <w:rFonts w:hint="eastAsia" w:ascii="宋体" w:hAnsi="宋体"/>
          <w:b/>
          <w:sz w:val="40"/>
          <w:szCs w:val="40"/>
        </w:rPr>
        <w:t>“浙江制造”标准修订说明</w:t>
      </w:r>
    </w:p>
    <w:p w14:paraId="7F940318">
      <w:pPr>
        <w:pStyle w:val="12"/>
        <w:tabs>
          <w:tab w:val="left" w:pos="1843"/>
        </w:tabs>
        <w:spacing w:line="580" w:lineRule="exact"/>
        <w:ind w:left="640" w:firstLine="0" w:firstLineChars="0"/>
        <w:jc w:val="center"/>
        <w:rPr>
          <w:rFonts w:ascii="宋体" w:hAnsi="宋体"/>
          <w:sz w:val="24"/>
        </w:rPr>
      </w:pPr>
    </w:p>
    <w:p w14:paraId="6C47AC06">
      <w:pPr>
        <w:pStyle w:val="12"/>
        <w:tabs>
          <w:tab w:val="left" w:pos="1843"/>
        </w:tabs>
        <w:spacing w:line="580" w:lineRule="exact"/>
        <w:ind w:firstLine="640"/>
        <w:jc w:val="left"/>
        <w:rPr>
          <w:rFonts w:ascii="黑体" w:hAnsi="黑体" w:eastAsia="黑体"/>
          <w:sz w:val="32"/>
          <w:szCs w:val="32"/>
        </w:rPr>
      </w:pPr>
      <w:r>
        <w:rPr>
          <w:rFonts w:hint="eastAsia" w:ascii="黑体" w:hAnsi="黑体" w:eastAsia="黑体"/>
          <w:sz w:val="32"/>
          <w:szCs w:val="32"/>
        </w:rPr>
        <w:t>一、修订背景</w:t>
      </w:r>
    </w:p>
    <w:p w14:paraId="149F4936">
      <w:pPr>
        <w:pStyle w:val="12"/>
        <w:tabs>
          <w:tab w:val="left" w:pos="1843"/>
        </w:tabs>
        <w:spacing w:line="580" w:lineRule="exact"/>
        <w:ind w:firstLine="640"/>
        <w:jc w:val="left"/>
        <w:rPr>
          <w:rFonts w:ascii="仿宋" w:hAnsi="仿宋" w:eastAsia="仿宋"/>
          <w:sz w:val="32"/>
          <w:szCs w:val="32"/>
        </w:rPr>
      </w:pPr>
      <w:r>
        <w:rPr>
          <w:rFonts w:hint="eastAsia" w:ascii="仿宋" w:hAnsi="仿宋" w:eastAsia="仿宋"/>
          <w:sz w:val="32"/>
          <w:szCs w:val="32"/>
        </w:rPr>
        <w:t>经标准复审</w:t>
      </w:r>
      <w:r>
        <w:rPr>
          <w:rFonts w:hint="eastAsia" w:ascii="仿宋" w:hAnsi="仿宋" w:eastAsia="仿宋" w:cs="Times New Roman"/>
          <w:sz w:val="32"/>
          <w:szCs w:val="32"/>
        </w:rPr>
        <w:t>存在需要修订的情形（主要为</w:t>
      </w:r>
      <w:r>
        <w:rPr>
          <w:rFonts w:hint="eastAsia" w:ascii="仿宋" w:hAnsi="仿宋" w:eastAsia="仿宋" w:cs="Times New Roman"/>
          <w:sz w:val="32"/>
          <w:szCs w:val="32"/>
          <w:lang w:val="en-US" w:eastAsia="zh-CN"/>
        </w:rPr>
        <w:t>安全要求未达到强制性国家标准GB 42296－2022《电动自行车用充电器安全技术要求（附2024年第1号修改单）》的要求</w:t>
      </w:r>
      <w:r>
        <w:rPr>
          <w:rFonts w:hint="eastAsia" w:ascii="仿宋" w:hAnsi="仿宋" w:eastAsia="仿宋" w:cs="Times New Roman"/>
          <w:sz w:val="32"/>
          <w:szCs w:val="32"/>
        </w:rPr>
        <w:t>），需对标</w:t>
      </w:r>
      <w:r>
        <w:rPr>
          <w:rFonts w:hint="eastAsia" w:ascii="仿宋" w:hAnsi="仿宋" w:eastAsia="仿宋"/>
          <w:sz w:val="32"/>
          <w:szCs w:val="32"/>
        </w:rPr>
        <w:t>准进行全面修订，使其</w:t>
      </w:r>
      <w:r>
        <w:rPr>
          <w:rFonts w:hint="eastAsia" w:ascii="仿宋_GB2312" w:eastAsia="仿宋_GB2312"/>
          <w:sz w:val="32"/>
          <w:szCs w:val="32"/>
        </w:rPr>
        <w:t>持续满足合规性、必要性、先进性、经济性与可操作性等“五性”要求。</w:t>
      </w:r>
    </w:p>
    <w:p w14:paraId="3DC846CD">
      <w:pPr>
        <w:pStyle w:val="13"/>
        <w:tabs>
          <w:tab w:val="left" w:pos="1843"/>
        </w:tabs>
        <w:spacing w:line="580" w:lineRule="exact"/>
        <w:ind w:firstLine="640"/>
        <w:jc w:val="left"/>
        <w:rPr>
          <w:rFonts w:ascii="黑体" w:hAnsi="黑体" w:eastAsia="黑体"/>
          <w:sz w:val="32"/>
          <w:szCs w:val="32"/>
        </w:rPr>
      </w:pPr>
      <w:r>
        <w:rPr>
          <w:rFonts w:hint="eastAsia" w:ascii="黑体" w:hAnsi="黑体" w:eastAsia="黑体"/>
          <w:sz w:val="32"/>
          <w:szCs w:val="32"/>
        </w:rPr>
        <w:t>二、修订说明</w:t>
      </w:r>
    </w:p>
    <w:p w14:paraId="47510A6D">
      <w:pPr>
        <w:pStyle w:val="12"/>
        <w:spacing w:line="580" w:lineRule="exact"/>
        <w:ind w:left="720" w:firstLine="0" w:firstLineChars="0"/>
        <w:rPr>
          <w:rFonts w:ascii="仿宋" w:hAnsi="仿宋" w:eastAsia="仿宋"/>
          <w:sz w:val="32"/>
          <w:szCs w:val="32"/>
        </w:rPr>
      </w:pPr>
      <w:r>
        <w:rPr>
          <w:rFonts w:hint="eastAsia" w:ascii="仿宋" w:hAnsi="仿宋" w:eastAsia="仿宋"/>
          <w:sz w:val="32"/>
          <w:szCs w:val="32"/>
        </w:rPr>
        <w:t>1.工作组组建情况。</w:t>
      </w:r>
      <w:bookmarkStart w:id="0" w:name="_GoBack"/>
      <w:bookmarkEnd w:id="0"/>
    </w:p>
    <w:p w14:paraId="1EB2742A">
      <w:pPr>
        <w:pStyle w:val="12"/>
        <w:tabs>
          <w:tab w:val="left" w:pos="1843"/>
        </w:tabs>
        <w:spacing w:line="580" w:lineRule="exact"/>
        <w:ind w:firstLine="640"/>
        <w:jc w:val="left"/>
        <w:rPr>
          <w:rFonts w:hint="eastAsia" w:ascii="仿宋" w:hAnsi="仿宋" w:eastAsia="仿宋"/>
          <w:sz w:val="32"/>
          <w:szCs w:val="32"/>
        </w:rPr>
      </w:pPr>
      <w:r>
        <w:rPr>
          <w:rFonts w:hint="eastAsia" w:ascii="仿宋" w:hAnsi="仿宋" w:eastAsia="仿宋"/>
          <w:sz w:val="32"/>
          <w:szCs w:val="32"/>
          <w:lang w:val="en-US" w:eastAsia="zh-CN"/>
        </w:rPr>
        <w:t>标准</w:t>
      </w:r>
      <w:r>
        <w:rPr>
          <w:rFonts w:hint="eastAsia" w:ascii="仿宋" w:hAnsi="仿宋" w:eastAsia="仿宋"/>
          <w:sz w:val="32"/>
          <w:szCs w:val="32"/>
        </w:rPr>
        <w:t>起草单位：浙江聚源电子有限公司</w:t>
      </w:r>
      <w:r>
        <w:rPr>
          <w:rFonts w:hint="eastAsia" w:ascii="仿宋" w:hAnsi="仿宋" w:eastAsia="仿宋"/>
          <w:sz w:val="32"/>
          <w:szCs w:val="32"/>
          <w:lang w:val="en-US" w:eastAsia="zh-CN"/>
        </w:rPr>
        <w:t>、</w:t>
      </w:r>
      <w:r>
        <w:rPr>
          <w:rFonts w:hint="eastAsia" w:ascii="仿宋" w:hAnsi="仿宋" w:eastAsia="仿宋"/>
          <w:sz w:val="32"/>
          <w:szCs w:val="32"/>
        </w:rPr>
        <w:t>台州市产品质量安全检测研究院、台州方圆质检有限公司、台州电动车行业协会、立马车业集团有限公司、临海市奇能电子科技有限公司、杭州友旺电子有限公司、中国质量认证中心有限公司杭州分公司</w:t>
      </w:r>
      <w:r>
        <w:rPr>
          <w:rFonts w:hint="eastAsia" w:ascii="仿宋" w:hAnsi="仿宋" w:eastAsia="仿宋"/>
          <w:sz w:val="32"/>
          <w:szCs w:val="32"/>
          <w:lang w:eastAsia="zh-CN"/>
        </w:rPr>
        <w:t>、</w:t>
      </w:r>
      <w:r>
        <w:rPr>
          <w:rFonts w:hint="eastAsia" w:ascii="仿宋" w:hAnsi="仿宋" w:eastAsia="仿宋"/>
          <w:sz w:val="32"/>
          <w:szCs w:val="32"/>
        </w:rPr>
        <w:t>金华职业技术学院</w:t>
      </w:r>
      <w:r>
        <w:rPr>
          <w:rFonts w:hint="eastAsia" w:ascii="仿宋" w:hAnsi="仿宋" w:eastAsia="仿宋"/>
          <w:sz w:val="32"/>
          <w:szCs w:val="32"/>
          <w:lang w:eastAsia="zh-CN"/>
        </w:rPr>
        <w:t>、</w:t>
      </w:r>
      <w:r>
        <w:rPr>
          <w:rFonts w:hint="eastAsia" w:ascii="仿宋" w:hAnsi="仿宋" w:eastAsia="仿宋"/>
          <w:sz w:val="32"/>
          <w:szCs w:val="32"/>
          <w:lang w:val="en-US" w:eastAsia="zh-CN"/>
        </w:rPr>
        <w:t>北京国标联合认证有限公司、</w:t>
      </w:r>
      <w:r>
        <w:rPr>
          <w:rFonts w:hint="eastAsia" w:ascii="仿宋" w:hAnsi="仿宋" w:eastAsia="仿宋"/>
          <w:sz w:val="32"/>
          <w:szCs w:val="32"/>
          <w:lang w:eastAsia="zh-CN"/>
        </w:rPr>
        <w:t>中国计量大学</w:t>
      </w:r>
      <w:r>
        <w:rPr>
          <w:rFonts w:hint="eastAsia" w:ascii="仿宋" w:hAnsi="仿宋" w:eastAsia="仿宋"/>
          <w:sz w:val="32"/>
          <w:szCs w:val="32"/>
        </w:rPr>
        <w:t>。</w:t>
      </w:r>
    </w:p>
    <w:p w14:paraId="3EDBAC6E">
      <w:pPr>
        <w:pStyle w:val="12"/>
        <w:tabs>
          <w:tab w:val="left" w:pos="1843"/>
        </w:tabs>
        <w:spacing w:line="580" w:lineRule="exact"/>
        <w:ind w:firstLine="640"/>
        <w:jc w:val="left"/>
        <w:rPr>
          <w:rFonts w:hint="eastAsia" w:ascii="仿宋" w:hAnsi="仿宋" w:eastAsia="仿宋"/>
          <w:sz w:val="32"/>
          <w:szCs w:val="32"/>
        </w:rPr>
      </w:pPr>
      <w:r>
        <w:rPr>
          <w:rFonts w:hint="eastAsia" w:ascii="仿宋" w:hAnsi="仿宋" w:eastAsia="仿宋"/>
          <w:sz w:val="32"/>
          <w:szCs w:val="32"/>
          <w:lang w:val="en-US" w:eastAsia="zh-CN"/>
        </w:rPr>
        <w:t>标准</w:t>
      </w:r>
      <w:r>
        <w:rPr>
          <w:rFonts w:hint="eastAsia" w:ascii="仿宋" w:hAnsi="仿宋" w:eastAsia="仿宋"/>
          <w:sz w:val="32"/>
          <w:szCs w:val="32"/>
        </w:rPr>
        <w:t>主要起草人：郑春生、郭少贤、陈青春、徐道利、阮立、应洪波、陈益民、赵才其、李建峰、李国鹏、焦傲、周英</w:t>
      </w:r>
      <w:r>
        <w:rPr>
          <w:rFonts w:hint="eastAsia" w:ascii="仿宋" w:hAnsi="仿宋" w:eastAsia="仿宋"/>
          <w:sz w:val="32"/>
          <w:szCs w:val="32"/>
          <w:lang w:eastAsia="zh-CN"/>
        </w:rPr>
        <w:t>、</w:t>
      </w:r>
      <w:r>
        <w:rPr>
          <w:rFonts w:hint="eastAsia" w:ascii="仿宋" w:hAnsi="仿宋" w:eastAsia="仿宋"/>
          <w:sz w:val="32"/>
          <w:szCs w:val="32"/>
        </w:rPr>
        <w:t>王金双</w:t>
      </w:r>
      <w:r>
        <w:rPr>
          <w:rFonts w:hint="eastAsia" w:ascii="仿宋" w:hAnsi="仿宋" w:eastAsia="仿宋"/>
          <w:sz w:val="32"/>
          <w:szCs w:val="32"/>
          <w:lang w:eastAsia="zh-CN"/>
        </w:rPr>
        <w:t>、</w:t>
      </w:r>
      <w:r>
        <w:rPr>
          <w:rFonts w:hint="eastAsia" w:ascii="仿宋" w:hAnsi="仿宋" w:eastAsia="仿宋"/>
          <w:sz w:val="32"/>
          <w:szCs w:val="32"/>
          <w:lang w:val="en-US" w:eastAsia="zh-CN"/>
        </w:rPr>
        <w:t>马成双、杨子林、</w:t>
      </w:r>
      <w:r>
        <w:rPr>
          <w:rFonts w:hint="eastAsia" w:ascii="仿宋" w:hAnsi="仿宋" w:eastAsia="仿宋"/>
          <w:sz w:val="32"/>
          <w:szCs w:val="32"/>
          <w:lang w:eastAsia="zh-CN"/>
        </w:rPr>
        <w:t>王小兵、</w:t>
      </w:r>
      <w:r>
        <w:rPr>
          <w:rFonts w:hint="eastAsia" w:ascii="仿宋" w:hAnsi="仿宋" w:eastAsia="仿宋"/>
          <w:sz w:val="32"/>
          <w:szCs w:val="32"/>
        </w:rPr>
        <w:t>闫伟</w:t>
      </w:r>
      <w:r>
        <w:rPr>
          <w:rFonts w:hint="eastAsia" w:ascii="仿宋" w:hAnsi="仿宋" w:eastAsia="仿宋"/>
          <w:sz w:val="32"/>
          <w:szCs w:val="32"/>
          <w:lang w:eastAsia="zh-CN"/>
        </w:rPr>
        <w:t>、</w:t>
      </w:r>
      <w:r>
        <w:rPr>
          <w:rFonts w:hint="eastAsia" w:ascii="仿宋" w:hAnsi="仿宋" w:eastAsia="仿宋"/>
          <w:sz w:val="32"/>
          <w:szCs w:val="32"/>
        </w:rPr>
        <w:t>项高强</w:t>
      </w:r>
      <w:r>
        <w:rPr>
          <w:rFonts w:hint="eastAsia" w:ascii="仿宋" w:hAnsi="仿宋" w:eastAsia="仿宋"/>
          <w:sz w:val="32"/>
          <w:szCs w:val="32"/>
          <w:lang w:eastAsia="zh-CN"/>
        </w:rPr>
        <w:t>、</w:t>
      </w:r>
      <w:r>
        <w:rPr>
          <w:rFonts w:hint="eastAsia" w:ascii="仿宋" w:hAnsi="仿宋" w:eastAsia="仿宋"/>
          <w:sz w:val="32"/>
          <w:szCs w:val="32"/>
        </w:rPr>
        <w:t>陈兆虎</w:t>
      </w:r>
      <w:r>
        <w:rPr>
          <w:rFonts w:hint="eastAsia" w:ascii="仿宋" w:hAnsi="仿宋" w:eastAsia="仿宋"/>
          <w:sz w:val="32"/>
          <w:szCs w:val="32"/>
          <w:lang w:eastAsia="zh-CN"/>
        </w:rPr>
        <w:t>、</w:t>
      </w:r>
      <w:r>
        <w:rPr>
          <w:rFonts w:hint="eastAsia" w:ascii="仿宋" w:hAnsi="仿宋" w:eastAsia="仿宋"/>
          <w:sz w:val="32"/>
          <w:szCs w:val="32"/>
        </w:rPr>
        <w:t xml:space="preserve">黄奔。 </w:t>
      </w:r>
    </w:p>
    <w:p w14:paraId="7A12C8EF">
      <w:pPr>
        <w:pStyle w:val="12"/>
        <w:tabs>
          <w:tab w:val="left" w:pos="1843"/>
        </w:tabs>
        <w:spacing w:line="580" w:lineRule="exact"/>
        <w:ind w:firstLine="640"/>
        <w:jc w:val="left"/>
        <w:rPr>
          <w:rFonts w:hint="eastAsia" w:ascii="仿宋" w:hAnsi="仿宋" w:eastAsia="仿宋" w:cs="Times New Roman"/>
          <w:sz w:val="32"/>
          <w:szCs w:val="32"/>
          <w:lang w:eastAsia="zh-CN"/>
        </w:rPr>
      </w:pPr>
    </w:p>
    <w:p w14:paraId="147AB2EE">
      <w:pPr>
        <w:pStyle w:val="12"/>
        <w:spacing w:line="580" w:lineRule="exact"/>
        <w:ind w:left="720" w:firstLine="0" w:firstLineChars="0"/>
        <w:rPr>
          <w:rFonts w:ascii="仿宋" w:hAnsi="仿宋" w:eastAsia="仿宋"/>
          <w:sz w:val="32"/>
          <w:szCs w:val="32"/>
        </w:rPr>
      </w:pPr>
      <w:r>
        <w:rPr>
          <w:rFonts w:hint="eastAsia" w:ascii="仿宋" w:hAnsi="仿宋" w:eastAsia="仿宋"/>
          <w:sz w:val="32"/>
          <w:szCs w:val="32"/>
        </w:rPr>
        <w:t>2.修订情况。</w:t>
      </w:r>
    </w:p>
    <w:p w14:paraId="422F0889">
      <w:pPr>
        <w:pStyle w:val="12"/>
        <w:spacing w:line="580" w:lineRule="exact"/>
        <w:ind w:left="720" w:firstLine="0" w:firstLineChars="0"/>
        <w:rPr>
          <w:rFonts w:ascii="仿宋" w:hAnsi="仿宋" w:eastAsia="仿宋"/>
          <w:sz w:val="32"/>
          <w:szCs w:val="32"/>
        </w:rPr>
      </w:pPr>
      <w:r>
        <w:rPr>
          <w:rFonts w:hint="eastAsia" w:ascii="仿宋" w:hAnsi="仿宋" w:eastAsia="仿宋"/>
          <w:sz w:val="32"/>
          <w:szCs w:val="32"/>
        </w:rPr>
        <w:t>（说明标准修订研讨情况，结合“五性”要求、专家复审建议及重点关注方面发现了哪些问题，是如何讨论解决的）</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855"/>
        <w:gridCol w:w="1130"/>
        <w:gridCol w:w="4269"/>
      </w:tblGrid>
      <w:tr w14:paraId="292B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4" w:type="dxa"/>
            <w:vAlign w:val="center"/>
          </w:tcPr>
          <w:p w14:paraId="0BBC4B7B">
            <w:pPr>
              <w:tabs>
                <w:tab w:val="left" w:pos="1843"/>
              </w:tabs>
              <w:jc w:val="center"/>
              <w:rPr>
                <w:rFonts w:ascii="宋体"/>
                <w:b/>
                <w:szCs w:val="21"/>
              </w:rPr>
            </w:pPr>
            <w:r>
              <w:rPr>
                <w:rFonts w:hint="eastAsia" w:ascii="宋体" w:hAnsi="宋体"/>
                <w:b/>
                <w:szCs w:val="21"/>
              </w:rPr>
              <w:t>属性</w:t>
            </w:r>
          </w:p>
        </w:tc>
        <w:tc>
          <w:tcPr>
            <w:tcW w:w="2855" w:type="dxa"/>
            <w:vAlign w:val="center"/>
          </w:tcPr>
          <w:p w14:paraId="51A870BE">
            <w:pPr>
              <w:tabs>
                <w:tab w:val="left" w:pos="1843"/>
              </w:tabs>
              <w:jc w:val="center"/>
              <w:rPr>
                <w:rFonts w:ascii="宋体"/>
                <w:b/>
                <w:szCs w:val="21"/>
              </w:rPr>
            </w:pPr>
            <w:r>
              <w:rPr>
                <w:rFonts w:hint="eastAsia" w:ascii="宋体"/>
                <w:b/>
                <w:szCs w:val="21"/>
              </w:rPr>
              <w:t>要素</w:t>
            </w:r>
          </w:p>
        </w:tc>
        <w:tc>
          <w:tcPr>
            <w:tcW w:w="1130" w:type="dxa"/>
            <w:vAlign w:val="center"/>
          </w:tcPr>
          <w:p w14:paraId="45FA18AB">
            <w:pPr>
              <w:tabs>
                <w:tab w:val="left" w:pos="1843"/>
              </w:tabs>
              <w:jc w:val="center"/>
              <w:rPr>
                <w:rFonts w:ascii="宋体"/>
                <w:b/>
                <w:szCs w:val="21"/>
              </w:rPr>
            </w:pPr>
            <w:r>
              <w:rPr>
                <w:rFonts w:hint="eastAsia" w:ascii="宋体" w:hAnsi="宋体"/>
                <w:b/>
                <w:szCs w:val="21"/>
              </w:rPr>
              <w:t>梳理情况</w:t>
            </w:r>
          </w:p>
        </w:tc>
        <w:tc>
          <w:tcPr>
            <w:tcW w:w="4269" w:type="dxa"/>
            <w:vAlign w:val="center"/>
          </w:tcPr>
          <w:p w14:paraId="26912453">
            <w:pPr>
              <w:tabs>
                <w:tab w:val="left" w:pos="1843"/>
              </w:tabs>
              <w:jc w:val="center"/>
              <w:rPr>
                <w:rFonts w:ascii="宋体"/>
                <w:b/>
                <w:szCs w:val="21"/>
              </w:rPr>
            </w:pPr>
            <w:r>
              <w:rPr>
                <w:rFonts w:hint="eastAsia" w:ascii="宋体"/>
                <w:b/>
                <w:szCs w:val="21"/>
              </w:rPr>
              <w:t>讨论情况</w:t>
            </w:r>
          </w:p>
        </w:tc>
      </w:tr>
      <w:tr w14:paraId="413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14" w:type="dxa"/>
            <w:vMerge w:val="restart"/>
            <w:vAlign w:val="center"/>
          </w:tcPr>
          <w:p w14:paraId="7E321CEB">
            <w:pPr>
              <w:tabs>
                <w:tab w:val="left" w:pos="1843"/>
              </w:tabs>
              <w:jc w:val="center"/>
              <w:rPr>
                <w:rFonts w:ascii="宋体"/>
                <w:szCs w:val="21"/>
              </w:rPr>
            </w:pPr>
            <w:r>
              <w:rPr>
                <w:rFonts w:hint="eastAsia" w:ascii="宋体" w:hAnsi="宋体" w:eastAsia="宋体" w:cs="Times New Roman"/>
                <w:szCs w:val="21"/>
              </w:rPr>
              <w:t>协调</w:t>
            </w:r>
          </w:p>
        </w:tc>
        <w:tc>
          <w:tcPr>
            <w:tcW w:w="2855" w:type="dxa"/>
            <w:vAlign w:val="center"/>
          </w:tcPr>
          <w:p w14:paraId="638C6080">
            <w:pPr>
              <w:tabs>
                <w:tab w:val="left" w:pos="1843"/>
              </w:tabs>
              <w:jc w:val="center"/>
              <w:rPr>
                <w:rFonts w:ascii="宋体"/>
                <w:szCs w:val="21"/>
              </w:rPr>
            </w:pPr>
            <w:r>
              <w:rPr>
                <w:rFonts w:hint="eastAsia" w:ascii="宋体" w:hAnsi="宋体"/>
                <w:szCs w:val="21"/>
              </w:rPr>
              <w:t>是否符合法律、法规、规章和产业政策</w:t>
            </w:r>
          </w:p>
        </w:tc>
        <w:tc>
          <w:tcPr>
            <w:tcW w:w="1130" w:type="dxa"/>
            <w:vAlign w:val="center"/>
          </w:tcPr>
          <w:p w14:paraId="1B5EF587">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符合</w:t>
            </w:r>
          </w:p>
        </w:tc>
        <w:tc>
          <w:tcPr>
            <w:tcW w:w="4269" w:type="dxa"/>
            <w:vMerge w:val="restart"/>
          </w:tcPr>
          <w:p w14:paraId="7E983ECD">
            <w:pPr>
              <w:tabs>
                <w:tab w:val="left" w:pos="1843"/>
              </w:tabs>
              <w:ind w:firstLine="420" w:firstLineChars="200"/>
              <w:jc w:val="left"/>
              <w:rPr>
                <w:rFonts w:hint="default" w:ascii="宋体" w:hAnsi="宋体" w:eastAsia="宋体" w:cs="Times New Roman"/>
                <w:szCs w:val="21"/>
                <w:lang w:val="en-US"/>
              </w:rPr>
            </w:pPr>
            <w:r>
              <w:rPr>
                <w:rFonts w:hint="eastAsia" w:ascii="宋体" w:hAnsi="宋体" w:eastAsia="宋体" w:cs="Times New Roman"/>
                <w:szCs w:val="21"/>
              </w:rPr>
              <w:t xml:space="preserve">T/ZZB </w:t>
            </w:r>
            <w:r>
              <w:rPr>
                <w:rFonts w:hint="eastAsia" w:ascii="宋体" w:hAnsi="宋体" w:eastAsia="宋体" w:cs="Times New Roman"/>
                <w:szCs w:val="21"/>
                <w:lang w:val="en-US" w:eastAsia="zh-CN"/>
              </w:rPr>
              <w:t>3055—2023《</w:t>
            </w:r>
            <w:r>
              <w:rPr>
                <w:rFonts w:hint="eastAsia" w:ascii="宋体" w:hAnsi="宋体" w:eastAsia="宋体" w:cs="Times New Roman"/>
                <w:szCs w:val="21"/>
              </w:rPr>
              <w:t>电动自行车用充电器》</w:t>
            </w:r>
            <w:r>
              <w:rPr>
                <w:rFonts w:hint="eastAsia" w:ascii="宋体" w:hAnsi="宋体" w:eastAsia="宋体" w:cs="Times New Roman"/>
                <w:szCs w:val="21"/>
                <w:lang w:val="en-US" w:eastAsia="zh-CN"/>
              </w:rPr>
              <w:t>在标准发布前已充分考虑GB 42296－2022《电动自行车用充电器安全技术要求》的相关内容，本次标准修订主要针对GB 42296－2022标准2024年第1号修改单的内容。因此，本次标准修订主要依据GB 42296－2022《电动自行车用充电器安全技术要求（附2024年第1号修改单）》，结合新修订实施的GB/T 6346.14－2023《电子设备用固定电容器 第14部分：分规范 抑制电源电磁干扰用固定电容器》、GB/T 16935.1－2023《低压系统内设备的绝缘配合 第1部分：原理、要求和试验》、GB 17625.1－2022《电磁兼容 限值 第1部分：谐波电流发射限值（设备每相输入电流≤16A）》，标准工作组对T/ZZB 3055—2023《电动自行车用充电器》每条内容进行一一梳理，技术指标确保满足新的标准的要求；试验方法GB 42296－2022标准中有的直接引用标准方法。</w:t>
            </w:r>
          </w:p>
        </w:tc>
      </w:tr>
      <w:tr w14:paraId="17B2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14" w:type="dxa"/>
            <w:vMerge w:val="continue"/>
            <w:vAlign w:val="center"/>
          </w:tcPr>
          <w:p w14:paraId="5CB7E0FC">
            <w:pPr>
              <w:tabs>
                <w:tab w:val="left" w:pos="1843"/>
              </w:tabs>
              <w:jc w:val="center"/>
              <w:rPr>
                <w:rFonts w:ascii="宋体"/>
                <w:szCs w:val="21"/>
              </w:rPr>
            </w:pPr>
          </w:p>
        </w:tc>
        <w:tc>
          <w:tcPr>
            <w:tcW w:w="2855" w:type="dxa"/>
            <w:vAlign w:val="center"/>
          </w:tcPr>
          <w:p w14:paraId="153F0FAC">
            <w:pPr>
              <w:tabs>
                <w:tab w:val="left" w:pos="1843"/>
              </w:tabs>
              <w:jc w:val="center"/>
              <w:rPr>
                <w:rFonts w:ascii="宋体"/>
                <w:szCs w:val="21"/>
              </w:rPr>
            </w:pPr>
            <w:r>
              <w:rPr>
                <w:rFonts w:hint="eastAsia" w:ascii="宋体" w:hAnsi="宋体"/>
                <w:szCs w:val="21"/>
              </w:rPr>
              <w:t>国家强制和推荐执行的标准（包括强制性国家标准和推荐性国家、行业、地方标准）最新版本</w:t>
            </w:r>
          </w:p>
        </w:tc>
        <w:tc>
          <w:tcPr>
            <w:tcW w:w="1130" w:type="dxa"/>
            <w:vAlign w:val="center"/>
          </w:tcPr>
          <w:p w14:paraId="2F48F115">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否</w:t>
            </w:r>
          </w:p>
        </w:tc>
        <w:tc>
          <w:tcPr>
            <w:tcW w:w="4269" w:type="dxa"/>
            <w:vMerge w:val="continue"/>
            <w:vAlign w:val="center"/>
          </w:tcPr>
          <w:p w14:paraId="1C5583EE">
            <w:pPr>
              <w:tabs>
                <w:tab w:val="left" w:pos="1843"/>
              </w:tabs>
              <w:jc w:val="left"/>
              <w:rPr>
                <w:rFonts w:hint="eastAsia" w:ascii="宋体" w:hAnsi="宋体" w:eastAsia="宋体" w:cs="Times New Roman"/>
                <w:szCs w:val="21"/>
              </w:rPr>
            </w:pPr>
          </w:p>
        </w:tc>
      </w:tr>
      <w:tr w14:paraId="3D69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14" w:type="dxa"/>
            <w:vMerge w:val="continue"/>
            <w:vAlign w:val="center"/>
          </w:tcPr>
          <w:p w14:paraId="47E1478F">
            <w:pPr>
              <w:tabs>
                <w:tab w:val="left" w:pos="1843"/>
              </w:tabs>
              <w:jc w:val="center"/>
              <w:rPr>
                <w:rFonts w:ascii="宋体"/>
                <w:szCs w:val="21"/>
              </w:rPr>
            </w:pPr>
          </w:p>
        </w:tc>
        <w:tc>
          <w:tcPr>
            <w:tcW w:w="2855" w:type="dxa"/>
            <w:vAlign w:val="center"/>
          </w:tcPr>
          <w:p w14:paraId="288302D5">
            <w:pPr>
              <w:tabs>
                <w:tab w:val="left" w:pos="1843"/>
              </w:tabs>
              <w:jc w:val="center"/>
              <w:rPr>
                <w:rFonts w:ascii="宋体"/>
                <w:szCs w:val="21"/>
              </w:rPr>
            </w:pPr>
            <w:r>
              <w:rPr>
                <w:rFonts w:hint="eastAsia" w:ascii="宋体" w:hAnsi="宋体"/>
                <w:szCs w:val="21"/>
              </w:rPr>
              <w:t>复审时国家强制和推荐执行的标准是否存在修订、废止、新增等变动情况</w:t>
            </w:r>
          </w:p>
        </w:tc>
        <w:tc>
          <w:tcPr>
            <w:tcW w:w="1130" w:type="dxa"/>
            <w:vAlign w:val="center"/>
          </w:tcPr>
          <w:p w14:paraId="45105C9A">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是</w:t>
            </w:r>
          </w:p>
        </w:tc>
        <w:tc>
          <w:tcPr>
            <w:tcW w:w="4269" w:type="dxa"/>
            <w:vMerge w:val="continue"/>
            <w:vAlign w:val="center"/>
          </w:tcPr>
          <w:p w14:paraId="1FBD54C4">
            <w:pPr>
              <w:tabs>
                <w:tab w:val="left" w:pos="1843"/>
              </w:tabs>
              <w:jc w:val="left"/>
              <w:rPr>
                <w:rFonts w:hint="eastAsia" w:ascii="宋体" w:hAnsi="宋体" w:eastAsia="宋体" w:cs="Times New Roman"/>
                <w:szCs w:val="21"/>
              </w:rPr>
            </w:pPr>
          </w:p>
        </w:tc>
      </w:tr>
      <w:tr w14:paraId="3942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14" w:type="dxa"/>
            <w:vMerge w:val="continue"/>
            <w:vAlign w:val="center"/>
          </w:tcPr>
          <w:p w14:paraId="1A52BA05">
            <w:pPr>
              <w:tabs>
                <w:tab w:val="left" w:pos="1843"/>
              </w:tabs>
              <w:jc w:val="center"/>
              <w:rPr>
                <w:rFonts w:ascii="宋体"/>
                <w:szCs w:val="21"/>
              </w:rPr>
            </w:pPr>
          </w:p>
        </w:tc>
        <w:tc>
          <w:tcPr>
            <w:tcW w:w="2855" w:type="dxa"/>
            <w:vAlign w:val="center"/>
          </w:tcPr>
          <w:p w14:paraId="72B706F0">
            <w:pPr>
              <w:tabs>
                <w:tab w:val="left" w:pos="1843"/>
              </w:tabs>
              <w:jc w:val="center"/>
              <w:rPr>
                <w:rFonts w:ascii="宋体" w:hAnsi="宋体"/>
                <w:szCs w:val="21"/>
              </w:rPr>
            </w:pPr>
            <w:r>
              <w:rPr>
                <w:rFonts w:hint="eastAsia" w:ascii="宋体" w:hAnsi="宋体"/>
                <w:szCs w:val="21"/>
              </w:rPr>
              <w:t>国家强制和推荐执行的标准如有变动，本标准是否符合最新要求</w:t>
            </w:r>
          </w:p>
        </w:tc>
        <w:tc>
          <w:tcPr>
            <w:tcW w:w="1130" w:type="dxa"/>
            <w:vAlign w:val="center"/>
          </w:tcPr>
          <w:p w14:paraId="72921D12">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否</w:t>
            </w:r>
          </w:p>
        </w:tc>
        <w:tc>
          <w:tcPr>
            <w:tcW w:w="4269" w:type="dxa"/>
            <w:vMerge w:val="continue"/>
            <w:vAlign w:val="center"/>
          </w:tcPr>
          <w:p w14:paraId="6A722D5A">
            <w:pPr>
              <w:tabs>
                <w:tab w:val="left" w:pos="1843"/>
              </w:tabs>
              <w:jc w:val="left"/>
              <w:rPr>
                <w:rFonts w:hint="eastAsia" w:ascii="宋体" w:hAnsi="宋体" w:eastAsia="宋体" w:cs="Times New Roman"/>
                <w:szCs w:val="21"/>
              </w:rPr>
            </w:pPr>
          </w:p>
        </w:tc>
      </w:tr>
      <w:tr w14:paraId="4C11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14" w:type="dxa"/>
            <w:vMerge w:val="restart"/>
            <w:vAlign w:val="center"/>
          </w:tcPr>
          <w:p w14:paraId="53962FEA">
            <w:pPr>
              <w:tabs>
                <w:tab w:val="left" w:pos="1843"/>
              </w:tabs>
              <w:jc w:val="center"/>
              <w:rPr>
                <w:rFonts w:ascii="宋体"/>
                <w:szCs w:val="21"/>
              </w:rPr>
            </w:pPr>
            <w:r>
              <w:rPr>
                <w:rFonts w:hint="eastAsia" w:ascii="宋体" w:hAnsi="宋体"/>
                <w:szCs w:val="21"/>
              </w:rPr>
              <w:t>有效</w:t>
            </w:r>
          </w:p>
        </w:tc>
        <w:tc>
          <w:tcPr>
            <w:tcW w:w="2855" w:type="dxa"/>
            <w:vAlign w:val="center"/>
          </w:tcPr>
          <w:p w14:paraId="43B91945">
            <w:pPr>
              <w:tabs>
                <w:tab w:val="left" w:pos="1843"/>
              </w:tabs>
              <w:jc w:val="center"/>
              <w:rPr>
                <w:rFonts w:ascii="宋体"/>
                <w:szCs w:val="21"/>
              </w:rPr>
            </w:pPr>
            <w:r>
              <w:rPr>
                <w:rFonts w:hint="eastAsia" w:ascii="宋体" w:hAnsi="宋体"/>
                <w:szCs w:val="21"/>
              </w:rPr>
              <w:t>引用文件修订、废止、新增等变动情况</w:t>
            </w:r>
          </w:p>
        </w:tc>
        <w:tc>
          <w:tcPr>
            <w:tcW w:w="1130" w:type="dxa"/>
            <w:vAlign w:val="center"/>
          </w:tcPr>
          <w:p w14:paraId="2F0B502C">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有</w:t>
            </w:r>
          </w:p>
        </w:tc>
        <w:tc>
          <w:tcPr>
            <w:tcW w:w="4269" w:type="dxa"/>
            <w:vMerge w:val="continue"/>
          </w:tcPr>
          <w:p w14:paraId="600F753C">
            <w:pPr>
              <w:tabs>
                <w:tab w:val="left" w:pos="1843"/>
              </w:tabs>
              <w:jc w:val="left"/>
              <w:rPr>
                <w:rFonts w:hint="eastAsia" w:ascii="宋体" w:hAnsi="宋体" w:eastAsia="宋体" w:cs="Times New Roman"/>
                <w:szCs w:val="21"/>
              </w:rPr>
            </w:pPr>
          </w:p>
        </w:tc>
      </w:tr>
      <w:tr w14:paraId="77D3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14" w:type="dxa"/>
            <w:vMerge w:val="continue"/>
            <w:vAlign w:val="center"/>
          </w:tcPr>
          <w:p w14:paraId="5211C4E9">
            <w:pPr>
              <w:tabs>
                <w:tab w:val="left" w:pos="1843"/>
              </w:tabs>
              <w:jc w:val="center"/>
              <w:rPr>
                <w:rFonts w:ascii="宋体" w:hAnsi="宋体"/>
                <w:szCs w:val="21"/>
              </w:rPr>
            </w:pPr>
          </w:p>
        </w:tc>
        <w:tc>
          <w:tcPr>
            <w:tcW w:w="2855" w:type="dxa"/>
            <w:vAlign w:val="center"/>
          </w:tcPr>
          <w:p w14:paraId="0EBBFAA9">
            <w:pPr>
              <w:tabs>
                <w:tab w:val="left" w:pos="1843"/>
              </w:tabs>
              <w:jc w:val="center"/>
              <w:rPr>
                <w:rFonts w:ascii="宋体" w:hAnsi="宋体"/>
                <w:szCs w:val="21"/>
              </w:rPr>
            </w:pPr>
            <w:r>
              <w:rPr>
                <w:rFonts w:hint="eastAsia" w:ascii="宋体" w:hAnsi="宋体"/>
                <w:szCs w:val="21"/>
              </w:rPr>
              <w:t>引用文件如有变动</w:t>
            </w:r>
            <w:r>
              <w:rPr>
                <w:rFonts w:hint="eastAsia" w:ascii="宋体" w:hAnsi="宋体"/>
                <w:szCs w:val="21"/>
                <w:lang w:eastAsia="zh-CN"/>
              </w:rPr>
              <w:t>，</w:t>
            </w:r>
            <w:r>
              <w:rPr>
                <w:rFonts w:hint="eastAsia" w:ascii="宋体" w:hAnsi="宋体"/>
                <w:szCs w:val="21"/>
              </w:rPr>
              <w:t>是否存在影响本标准的情形</w:t>
            </w:r>
          </w:p>
        </w:tc>
        <w:tc>
          <w:tcPr>
            <w:tcW w:w="1130" w:type="dxa"/>
            <w:vAlign w:val="center"/>
          </w:tcPr>
          <w:p w14:paraId="5C8BDAF8">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有</w:t>
            </w:r>
          </w:p>
        </w:tc>
        <w:tc>
          <w:tcPr>
            <w:tcW w:w="4269" w:type="dxa"/>
            <w:vMerge w:val="continue"/>
            <w:vAlign w:val="center"/>
          </w:tcPr>
          <w:p w14:paraId="7C5C310F">
            <w:pPr>
              <w:tabs>
                <w:tab w:val="left" w:pos="1843"/>
              </w:tabs>
              <w:jc w:val="left"/>
              <w:rPr>
                <w:rFonts w:ascii="宋体" w:hAnsi="宋体"/>
                <w:szCs w:val="21"/>
              </w:rPr>
            </w:pPr>
          </w:p>
        </w:tc>
      </w:tr>
      <w:tr w14:paraId="6DC0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14" w:type="dxa"/>
            <w:vMerge w:val="restart"/>
            <w:vAlign w:val="center"/>
          </w:tcPr>
          <w:p w14:paraId="767C75B4">
            <w:pPr>
              <w:tabs>
                <w:tab w:val="left" w:pos="1843"/>
              </w:tabs>
              <w:jc w:val="center"/>
              <w:rPr>
                <w:rFonts w:ascii="宋体"/>
                <w:szCs w:val="21"/>
              </w:rPr>
            </w:pPr>
            <w:r>
              <w:rPr>
                <w:rFonts w:hint="eastAsia" w:ascii="宋体" w:hAnsi="宋体"/>
                <w:szCs w:val="21"/>
              </w:rPr>
              <w:t>先进</w:t>
            </w:r>
          </w:p>
        </w:tc>
        <w:tc>
          <w:tcPr>
            <w:tcW w:w="2855" w:type="dxa"/>
            <w:vAlign w:val="center"/>
          </w:tcPr>
          <w:p w14:paraId="1FBC8409">
            <w:pPr>
              <w:tabs>
                <w:tab w:val="left" w:pos="1843"/>
              </w:tabs>
              <w:jc w:val="center"/>
              <w:rPr>
                <w:rFonts w:ascii="宋体"/>
                <w:szCs w:val="21"/>
              </w:rPr>
            </w:pPr>
            <w:r>
              <w:rPr>
                <w:rFonts w:hint="eastAsia" w:ascii="宋体"/>
                <w:szCs w:val="21"/>
              </w:rPr>
              <w:t>设计研发、原材料、工艺装备、检验检测等</w:t>
            </w:r>
            <w:r>
              <w:rPr>
                <w:rFonts w:hint="eastAsia" w:ascii="宋体" w:hAnsi="宋体"/>
                <w:szCs w:val="21"/>
              </w:rPr>
              <w:t>基本要求及质量承诺先进性</w:t>
            </w:r>
            <w:r>
              <w:rPr>
                <w:rFonts w:hint="eastAsia" w:ascii="宋体"/>
                <w:szCs w:val="21"/>
              </w:rPr>
              <w:t>情况</w:t>
            </w:r>
          </w:p>
        </w:tc>
        <w:tc>
          <w:tcPr>
            <w:tcW w:w="1130" w:type="dxa"/>
            <w:vAlign w:val="center"/>
          </w:tcPr>
          <w:p w14:paraId="1E221AAC">
            <w:pPr>
              <w:tabs>
                <w:tab w:val="left" w:pos="1843"/>
              </w:tabs>
              <w:jc w:val="center"/>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无变化</w:t>
            </w:r>
          </w:p>
        </w:tc>
        <w:tc>
          <w:tcPr>
            <w:tcW w:w="4269" w:type="dxa"/>
            <w:vMerge w:val="restart"/>
          </w:tcPr>
          <w:p w14:paraId="1D660450">
            <w:pPr>
              <w:tabs>
                <w:tab w:val="left" w:pos="1843"/>
              </w:tabs>
              <w:jc w:val="left"/>
              <w:rPr>
                <w:rFonts w:hint="default" w:ascii="宋体" w:hAnsi="宋体" w:eastAsia="宋体"/>
                <w:szCs w:val="21"/>
                <w:lang w:val="en-US" w:eastAsia="zh-CN"/>
              </w:rPr>
            </w:pPr>
            <w:r>
              <w:rPr>
                <w:rFonts w:hint="eastAsia" w:ascii="宋体" w:hAnsi="宋体"/>
                <w:szCs w:val="21"/>
                <w:lang w:val="en-US" w:eastAsia="zh-CN"/>
              </w:rPr>
              <w:t>当前</w:t>
            </w:r>
            <w:r>
              <w:rPr>
                <w:rFonts w:hint="eastAsia" w:ascii="宋体" w:hAnsi="宋体" w:eastAsia="宋体" w:cs="Times New Roman"/>
                <w:szCs w:val="21"/>
              </w:rPr>
              <w:t xml:space="preserve">T/ZZB </w:t>
            </w:r>
            <w:r>
              <w:rPr>
                <w:rFonts w:hint="eastAsia" w:ascii="宋体" w:hAnsi="宋体" w:eastAsia="宋体" w:cs="Times New Roman"/>
                <w:szCs w:val="21"/>
                <w:lang w:val="en-US" w:eastAsia="zh-CN"/>
              </w:rPr>
              <w:t>3055—2023《</w:t>
            </w:r>
            <w:r>
              <w:rPr>
                <w:rFonts w:hint="eastAsia" w:ascii="宋体" w:hAnsi="宋体" w:eastAsia="宋体" w:cs="Times New Roman"/>
                <w:szCs w:val="21"/>
              </w:rPr>
              <w:t>电动自行车用充电器》</w:t>
            </w:r>
            <w:r>
              <w:rPr>
                <w:rFonts w:hint="eastAsia" w:ascii="宋体" w:hAnsi="宋体" w:eastAsia="宋体" w:cs="Times New Roman"/>
                <w:szCs w:val="21"/>
                <w:lang w:val="en-US" w:eastAsia="zh-CN"/>
              </w:rPr>
              <w:t>涉及先进性指标未出现对应国标变更情况，原有的先进性指标仍具备先进性。</w:t>
            </w:r>
          </w:p>
        </w:tc>
      </w:tr>
      <w:tr w14:paraId="413D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14" w:type="dxa"/>
            <w:vMerge w:val="continue"/>
            <w:vAlign w:val="center"/>
          </w:tcPr>
          <w:p w14:paraId="03FDDD7E">
            <w:pPr>
              <w:tabs>
                <w:tab w:val="left" w:pos="1843"/>
              </w:tabs>
              <w:jc w:val="center"/>
              <w:rPr>
                <w:rFonts w:ascii="宋体" w:hAnsi="宋体"/>
                <w:szCs w:val="21"/>
              </w:rPr>
            </w:pPr>
          </w:p>
        </w:tc>
        <w:tc>
          <w:tcPr>
            <w:tcW w:w="2855" w:type="dxa"/>
            <w:vAlign w:val="center"/>
          </w:tcPr>
          <w:p w14:paraId="3D26D974">
            <w:pPr>
              <w:tabs>
                <w:tab w:val="left" w:pos="1843"/>
              </w:tabs>
              <w:jc w:val="center"/>
              <w:rPr>
                <w:rFonts w:ascii="宋体" w:hAnsi="宋体"/>
                <w:szCs w:val="21"/>
              </w:rPr>
            </w:pPr>
            <w:r>
              <w:rPr>
                <w:rFonts w:hint="eastAsia" w:ascii="宋体" w:hAnsi="宋体"/>
                <w:szCs w:val="21"/>
              </w:rPr>
              <w:t>关键项目指标比对对象（国际、国内标准及实物、客户要求等）</w:t>
            </w:r>
          </w:p>
        </w:tc>
        <w:tc>
          <w:tcPr>
            <w:tcW w:w="1130" w:type="dxa"/>
            <w:vAlign w:val="center"/>
          </w:tcPr>
          <w:p w14:paraId="16711734">
            <w:pPr>
              <w:tabs>
                <w:tab w:val="left" w:pos="1843"/>
              </w:tabs>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无变化</w:t>
            </w:r>
          </w:p>
        </w:tc>
        <w:tc>
          <w:tcPr>
            <w:tcW w:w="4269" w:type="dxa"/>
            <w:vMerge w:val="continue"/>
            <w:vAlign w:val="center"/>
          </w:tcPr>
          <w:p w14:paraId="0B93D420">
            <w:pPr>
              <w:tabs>
                <w:tab w:val="left" w:pos="1843"/>
              </w:tabs>
              <w:rPr>
                <w:rFonts w:ascii="宋体" w:hAnsi="宋体"/>
                <w:szCs w:val="21"/>
              </w:rPr>
            </w:pPr>
          </w:p>
        </w:tc>
      </w:tr>
      <w:tr w14:paraId="7895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14" w:type="dxa"/>
            <w:vMerge w:val="continue"/>
            <w:vAlign w:val="center"/>
          </w:tcPr>
          <w:p w14:paraId="7045A954">
            <w:pPr>
              <w:tabs>
                <w:tab w:val="left" w:pos="1843"/>
              </w:tabs>
              <w:jc w:val="center"/>
              <w:rPr>
                <w:rFonts w:ascii="宋体"/>
                <w:szCs w:val="21"/>
              </w:rPr>
            </w:pPr>
          </w:p>
        </w:tc>
        <w:tc>
          <w:tcPr>
            <w:tcW w:w="2855" w:type="dxa"/>
            <w:vAlign w:val="center"/>
          </w:tcPr>
          <w:p w14:paraId="3B7DFC3E">
            <w:pPr>
              <w:tabs>
                <w:tab w:val="left" w:pos="1843"/>
              </w:tabs>
              <w:jc w:val="center"/>
              <w:rPr>
                <w:rFonts w:ascii="宋体"/>
                <w:szCs w:val="21"/>
              </w:rPr>
            </w:pPr>
            <w:r>
              <w:rPr>
                <w:rFonts w:hint="eastAsia" w:ascii="宋体" w:hAnsi="宋体"/>
                <w:szCs w:val="21"/>
              </w:rPr>
              <w:t>是否存在比对对象修订、废止、新增等变动情况</w:t>
            </w:r>
          </w:p>
        </w:tc>
        <w:tc>
          <w:tcPr>
            <w:tcW w:w="1130" w:type="dxa"/>
            <w:vAlign w:val="center"/>
          </w:tcPr>
          <w:p w14:paraId="6B42B2C2">
            <w:pPr>
              <w:tabs>
                <w:tab w:val="left" w:pos="1843"/>
              </w:tabs>
              <w:jc w:val="center"/>
              <w:rPr>
                <w:rFonts w:hint="eastAsia" w:ascii="宋体" w:eastAsia="宋体"/>
                <w:szCs w:val="21"/>
                <w:lang w:val="en-US" w:eastAsia="zh-CN"/>
              </w:rPr>
            </w:pPr>
            <w:r>
              <w:rPr>
                <w:rFonts w:hint="eastAsia" w:ascii="宋体"/>
                <w:szCs w:val="21"/>
                <w:lang w:val="en-US" w:eastAsia="zh-CN"/>
              </w:rPr>
              <w:t>无</w:t>
            </w:r>
          </w:p>
        </w:tc>
        <w:tc>
          <w:tcPr>
            <w:tcW w:w="4269" w:type="dxa"/>
            <w:vMerge w:val="continue"/>
            <w:vAlign w:val="center"/>
          </w:tcPr>
          <w:p w14:paraId="78D0AD51">
            <w:pPr>
              <w:tabs>
                <w:tab w:val="left" w:pos="1843"/>
              </w:tabs>
              <w:jc w:val="center"/>
              <w:rPr>
                <w:rFonts w:ascii="宋体"/>
                <w:szCs w:val="21"/>
              </w:rPr>
            </w:pPr>
          </w:p>
        </w:tc>
      </w:tr>
      <w:tr w14:paraId="4B04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14" w:type="dxa"/>
            <w:vMerge w:val="continue"/>
            <w:vAlign w:val="center"/>
          </w:tcPr>
          <w:p w14:paraId="2A7A1BB9">
            <w:pPr>
              <w:tabs>
                <w:tab w:val="left" w:pos="1843"/>
              </w:tabs>
              <w:jc w:val="center"/>
              <w:rPr>
                <w:rFonts w:ascii="宋体"/>
                <w:szCs w:val="21"/>
              </w:rPr>
            </w:pPr>
          </w:p>
        </w:tc>
        <w:tc>
          <w:tcPr>
            <w:tcW w:w="2855" w:type="dxa"/>
            <w:vAlign w:val="center"/>
          </w:tcPr>
          <w:p w14:paraId="29865529">
            <w:pPr>
              <w:tabs>
                <w:tab w:val="left" w:pos="1843"/>
              </w:tabs>
              <w:jc w:val="center"/>
              <w:rPr>
                <w:rFonts w:ascii="宋体" w:hAnsi="宋体"/>
                <w:szCs w:val="21"/>
              </w:rPr>
            </w:pPr>
            <w:r>
              <w:rPr>
                <w:rFonts w:hint="eastAsia" w:ascii="宋体" w:hAnsi="宋体"/>
                <w:szCs w:val="21"/>
              </w:rPr>
              <w:t>本标准关键项目覆盖和指标水平情况是否仍具备先进性</w:t>
            </w:r>
          </w:p>
        </w:tc>
        <w:tc>
          <w:tcPr>
            <w:tcW w:w="1130" w:type="dxa"/>
            <w:vAlign w:val="center"/>
          </w:tcPr>
          <w:p w14:paraId="217DCE47">
            <w:pPr>
              <w:tabs>
                <w:tab w:val="left" w:pos="1843"/>
              </w:tabs>
              <w:jc w:val="center"/>
              <w:rPr>
                <w:rFonts w:hint="eastAsia" w:ascii="宋体" w:eastAsia="宋体"/>
                <w:szCs w:val="21"/>
                <w:lang w:val="en-US" w:eastAsia="zh-CN"/>
              </w:rPr>
            </w:pPr>
            <w:r>
              <w:rPr>
                <w:rFonts w:hint="eastAsia" w:ascii="宋体"/>
                <w:szCs w:val="21"/>
                <w:lang w:val="en-US" w:eastAsia="zh-CN"/>
              </w:rPr>
              <w:t>具备</w:t>
            </w:r>
          </w:p>
        </w:tc>
        <w:tc>
          <w:tcPr>
            <w:tcW w:w="4269" w:type="dxa"/>
            <w:vMerge w:val="continue"/>
            <w:vAlign w:val="center"/>
          </w:tcPr>
          <w:p w14:paraId="725F3F19">
            <w:pPr>
              <w:tabs>
                <w:tab w:val="left" w:pos="1843"/>
              </w:tabs>
              <w:jc w:val="center"/>
              <w:rPr>
                <w:rFonts w:ascii="宋体"/>
                <w:szCs w:val="21"/>
              </w:rPr>
            </w:pPr>
          </w:p>
        </w:tc>
      </w:tr>
      <w:tr w14:paraId="37E7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14" w:type="dxa"/>
            <w:vAlign w:val="center"/>
          </w:tcPr>
          <w:p w14:paraId="0BEC7B08">
            <w:pPr>
              <w:tabs>
                <w:tab w:val="left" w:pos="1843"/>
              </w:tabs>
              <w:jc w:val="center"/>
              <w:rPr>
                <w:rFonts w:ascii="宋体"/>
                <w:szCs w:val="21"/>
              </w:rPr>
            </w:pPr>
            <w:r>
              <w:rPr>
                <w:rFonts w:hint="eastAsia" w:ascii="宋体" w:hAnsi="宋体"/>
                <w:szCs w:val="21"/>
              </w:rPr>
              <w:t>其他情况</w:t>
            </w:r>
          </w:p>
        </w:tc>
        <w:tc>
          <w:tcPr>
            <w:tcW w:w="8254" w:type="dxa"/>
            <w:gridSpan w:val="3"/>
            <w:vAlign w:val="center"/>
          </w:tcPr>
          <w:p w14:paraId="0A389636">
            <w:pPr>
              <w:tabs>
                <w:tab w:val="left" w:pos="1843"/>
              </w:tabs>
              <w:jc w:val="center"/>
              <w:rPr>
                <w:rFonts w:ascii="宋体"/>
                <w:szCs w:val="21"/>
              </w:rPr>
            </w:pPr>
          </w:p>
        </w:tc>
      </w:tr>
    </w:tbl>
    <w:p w14:paraId="3DAFBD9E">
      <w:pPr>
        <w:pStyle w:val="12"/>
        <w:spacing w:line="580" w:lineRule="exact"/>
        <w:ind w:left="720" w:firstLine="0" w:firstLineChars="0"/>
        <w:rPr>
          <w:rFonts w:ascii="仿宋" w:hAnsi="仿宋" w:eastAsia="仿宋"/>
          <w:sz w:val="32"/>
          <w:szCs w:val="32"/>
        </w:rPr>
      </w:pPr>
      <w:r>
        <w:rPr>
          <w:rFonts w:hint="eastAsia" w:ascii="仿宋" w:hAnsi="仿宋" w:eastAsia="仿宋"/>
          <w:sz w:val="32"/>
          <w:szCs w:val="32"/>
        </w:rPr>
        <w:t>3.修订内容。</w:t>
      </w:r>
    </w:p>
    <w:p w14:paraId="425D99D0">
      <w:pPr>
        <w:pStyle w:val="12"/>
        <w:spacing w:line="580" w:lineRule="exact"/>
        <w:ind w:left="720" w:firstLine="0" w:firstLineChars="0"/>
        <w:rPr>
          <w:rFonts w:hint="eastAsia" w:ascii="仿宋" w:hAnsi="仿宋" w:eastAsia="仿宋"/>
          <w:sz w:val="32"/>
          <w:szCs w:val="32"/>
        </w:rPr>
      </w:pPr>
      <w:r>
        <w:rPr>
          <w:rFonts w:hint="eastAsia" w:ascii="仿宋" w:hAnsi="仿宋" w:eastAsia="仿宋"/>
          <w:sz w:val="32"/>
          <w:szCs w:val="32"/>
        </w:rPr>
        <w:t>（属性填协调、有效、先进、其他；修改原因填为什么修改、修改依据是什么；主要技术变化填增加、更改、删除了哪些具体内容（见附件3示例））</w:t>
      </w:r>
    </w:p>
    <w:tbl>
      <w:tblPr>
        <w:tblStyle w:val="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86"/>
        <w:gridCol w:w="1508"/>
        <w:gridCol w:w="1312"/>
        <w:gridCol w:w="2330"/>
        <w:gridCol w:w="2240"/>
        <w:gridCol w:w="1391"/>
      </w:tblGrid>
      <w:tr w14:paraId="0B14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12C9F2C5">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686" w:type="dxa"/>
            <w:vAlign w:val="center"/>
          </w:tcPr>
          <w:p w14:paraId="687318B3">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属性</w:t>
            </w:r>
          </w:p>
        </w:tc>
        <w:tc>
          <w:tcPr>
            <w:tcW w:w="1508" w:type="dxa"/>
            <w:vAlign w:val="center"/>
          </w:tcPr>
          <w:p w14:paraId="22878084">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修改原因</w:t>
            </w:r>
          </w:p>
        </w:tc>
        <w:tc>
          <w:tcPr>
            <w:tcW w:w="1312" w:type="dxa"/>
            <w:vAlign w:val="center"/>
          </w:tcPr>
          <w:p w14:paraId="435A1A99">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章条号</w:t>
            </w:r>
          </w:p>
        </w:tc>
        <w:tc>
          <w:tcPr>
            <w:tcW w:w="2330" w:type="dxa"/>
            <w:vAlign w:val="center"/>
          </w:tcPr>
          <w:p w14:paraId="72BB46D5">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原文</w:t>
            </w:r>
          </w:p>
        </w:tc>
        <w:tc>
          <w:tcPr>
            <w:tcW w:w="2240" w:type="dxa"/>
            <w:vAlign w:val="center"/>
          </w:tcPr>
          <w:p w14:paraId="15993EC3">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改为</w:t>
            </w:r>
          </w:p>
        </w:tc>
        <w:tc>
          <w:tcPr>
            <w:tcW w:w="1391" w:type="dxa"/>
            <w:vAlign w:val="center"/>
          </w:tcPr>
          <w:p w14:paraId="3309692D">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主要技术变化</w:t>
            </w:r>
          </w:p>
        </w:tc>
      </w:tr>
      <w:tr w14:paraId="4E16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3385A4D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86" w:type="dxa"/>
            <w:vAlign w:val="center"/>
          </w:tcPr>
          <w:p w14:paraId="29108672">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vAlign w:val="center"/>
          </w:tcPr>
          <w:p w14:paraId="7A0296CE">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不符合GB 42296－2022第1号修改单的要求</w:t>
            </w:r>
          </w:p>
        </w:tc>
        <w:tc>
          <w:tcPr>
            <w:tcW w:w="1312" w:type="dxa"/>
            <w:vAlign w:val="center"/>
          </w:tcPr>
          <w:p w14:paraId="50606368">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第1章</w:t>
            </w:r>
          </w:p>
        </w:tc>
        <w:tc>
          <w:tcPr>
            <w:tcW w:w="2330" w:type="dxa"/>
            <w:vAlign w:val="center"/>
          </w:tcPr>
          <w:p w14:paraId="1CD26F50">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本文件不适用于电动自行车用车载充电器、充/换电柜、充电桩、快速充电站等充电设施。</w:t>
            </w:r>
          </w:p>
        </w:tc>
        <w:tc>
          <w:tcPr>
            <w:tcW w:w="2240" w:type="dxa"/>
            <w:vAlign w:val="center"/>
          </w:tcPr>
          <w:p w14:paraId="5005246E">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本文件不适用于电动自行车</w:t>
            </w:r>
            <w:r>
              <w:rPr>
                <w:rFonts w:hint="eastAsia" w:ascii="宋体" w:hAnsi="宋体" w:eastAsia="宋体" w:cs="宋体"/>
                <w:color w:val="auto"/>
                <w:sz w:val="21"/>
                <w:szCs w:val="21"/>
                <w:highlight w:val="none"/>
                <w:lang w:val="en-US" w:eastAsia="zh-CN"/>
              </w:rPr>
              <w:t>的充/换电柜、充电桩、快速充电站等充电设施</w:t>
            </w:r>
            <w:r>
              <w:rPr>
                <w:rFonts w:hint="eastAsia" w:ascii="宋体" w:hAnsi="宋体" w:eastAsia="宋体" w:cs="宋体"/>
                <w:color w:val="auto"/>
                <w:sz w:val="21"/>
                <w:szCs w:val="21"/>
                <w:highlight w:val="none"/>
              </w:rPr>
              <w:t>。</w:t>
            </w:r>
          </w:p>
        </w:tc>
        <w:tc>
          <w:tcPr>
            <w:tcW w:w="1391" w:type="dxa"/>
            <w:vAlign w:val="center"/>
          </w:tcPr>
          <w:p w14:paraId="70537E0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不适用范围删除了电动自行车用车载充电器</w:t>
            </w:r>
          </w:p>
        </w:tc>
      </w:tr>
      <w:tr w14:paraId="70A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5BA5A64F">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86" w:type="dxa"/>
            <w:vAlign w:val="center"/>
          </w:tcPr>
          <w:p w14:paraId="7CEA0B59">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vAlign w:val="center"/>
          </w:tcPr>
          <w:p w14:paraId="39C24FB1">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标准作废</w:t>
            </w:r>
          </w:p>
        </w:tc>
        <w:tc>
          <w:tcPr>
            <w:tcW w:w="1312" w:type="dxa"/>
            <w:vAlign w:val="center"/>
          </w:tcPr>
          <w:p w14:paraId="6E78049A">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第2章</w:t>
            </w:r>
          </w:p>
        </w:tc>
        <w:tc>
          <w:tcPr>
            <w:tcW w:w="2330" w:type="dxa"/>
            <w:vAlign w:val="center"/>
          </w:tcPr>
          <w:p w14:paraId="2AC84357">
            <w:pPr>
              <w:pStyle w:val="15"/>
              <w:rPr>
                <w:rFonts w:hint="eastAsia" w:ascii="宋体" w:hAnsi="宋体" w:eastAsia="宋体" w:cs="宋体"/>
                <w:color w:val="auto"/>
                <w:sz w:val="21"/>
                <w:szCs w:val="21"/>
              </w:rPr>
            </w:pPr>
            <w:r>
              <w:rPr>
                <w:rFonts w:hint="eastAsia" w:ascii="宋体" w:hAnsi="宋体" w:eastAsia="宋体" w:cs="宋体"/>
                <w:color w:val="auto"/>
                <w:sz w:val="21"/>
                <w:szCs w:val="21"/>
              </w:rPr>
              <w:t>GB/T 6346.14－2015  电子设备用固定电容器 第</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部分:分规范 抑制电源电磁干扰用固定电容器</w:t>
            </w:r>
          </w:p>
          <w:p w14:paraId="2B0F871B">
            <w:pPr>
              <w:pStyle w:val="15"/>
              <w:rPr>
                <w:rFonts w:hint="eastAsia" w:ascii="宋体" w:hAnsi="宋体" w:eastAsia="宋体" w:cs="宋体"/>
                <w:color w:val="auto"/>
                <w:sz w:val="21"/>
                <w:szCs w:val="21"/>
              </w:rPr>
            </w:pPr>
            <w:r>
              <w:rPr>
                <w:rFonts w:hint="eastAsia" w:ascii="宋体" w:hAnsi="宋体" w:eastAsia="宋体" w:cs="宋体"/>
                <w:color w:val="auto"/>
                <w:sz w:val="21"/>
                <w:szCs w:val="21"/>
              </w:rPr>
              <w:t>GB/T 16935.1－2008  低压系统内设备的绝缘配合 第</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部分:原理、要求和试验</w:t>
            </w:r>
          </w:p>
          <w:p w14:paraId="4E728E29">
            <w:pPr>
              <w:pStyle w:val="15"/>
              <w:rPr>
                <w:rFonts w:hint="eastAsia" w:ascii="宋体" w:hAnsi="宋体" w:eastAsia="宋体" w:cs="宋体"/>
                <w:color w:val="auto"/>
                <w:sz w:val="21"/>
                <w:szCs w:val="21"/>
              </w:rPr>
            </w:pPr>
            <w:r>
              <w:rPr>
                <w:rFonts w:hint="eastAsia" w:ascii="宋体" w:hAnsi="宋体" w:eastAsia="宋体" w:cs="宋体"/>
                <w:color w:val="auto"/>
                <w:sz w:val="21"/>
                <w:szCs w:val="21"/>
              </w:rPr>
              <w:t>GB 17625.1－2012  电磁兼容 限值 谐波电流发射限值（设备每相输入电流≤16 A）</w:t>
            </w:r>
          </w:p>
        </w:tc>
        <w:tc>
          <w:tcPr>
            <w:tcW w:w="2240" w:type="dxa"/>
            <w:vAlign w:val="center"/>
          </w:tcPr>
          <w:p w14:paraId="1315F4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6346.14－2023  电子设备用固定电容器 第14部分：分规范 抑制电源电磁干扰用固定电容器</w:t>
            </w:r>
          </w:p>
          <w:p w14:paraId="584A01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16935.1－2023  低压系统内设备的绝缘配合 第1部分：原理、要求和试验</w:t>
            </w:r>
          </w:p>
          <w:p w14:paraId="300AA6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GB 17625.1－2022  电磁兼容 限值 第1部分：谐波电流发射限值（设备每相输入电流≤16A）</w:t>
            </w:r>
          </w:p>
        </w:tc>
        <w:tc>
          <w:tcPr>
            <w:tcW w:w="1391" w:type="dxa"/>
            <w:vAlign w:val="center"/>
          </w:tcPr>
          <w:p w14:paraId="4450F3F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14:paraId="7BDA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1EF2EC9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86" w:type="dxa"/>
            <w:vAlign w:val="center"/>
          </w:tcPr>
          <w:p w14:paraId="3C526C5A">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vAlign w:val="center"/>
          </w:tcPr>
          <w:p w14:paraId="7978DE05">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42296－2022第1号修改单的要求</w:t>
            </w:r>
          </w:p>
        </w:tc>
        <w:tc>
          <w:tcPr>
            <w:tcW w:w="1312" w:type="dxa"/>
            <w:vAlign w:val="center"/>
          </w:tcPr>
          <w:p w14:paraId="51320114">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第4章</w:t>
            </w:r>
          </w:p>
        </w:tc>
        <w:tc>
          <w:tcPr>
            <w:tcW w:w="2330" w:type="dxa"/>
            <w:vAlign w:val="center"/>
          </w:tcPr>
          <w:p w14:paraId="1CD31201">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分类</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代号</w:t>
            </w:r>
          </w:p>
        </w:tc>
        <w:tc>
          <w:tcPr>
            <w:tcW w:w="2240" w:type="dxa"/>
            <w:vAlign w:val="center"/>
          </w:tcPr>
          <w:p w14:paraId="53E759DE">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分类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代号</w:t>
            </w:r>
            <w:r>
              <w:rPr>
                <w:rFonts w:hint="eastAsia" w:ascii="宋体" w:hAnsi="宋体" w:eastAsia="宋体" w:cs="宋体"/>
                <w:color w:val="auto"/>
                <w:sz w:val="21"/>
                <w:szCs w:val="21"/>
                <w:lang w:val="en-US" w:eastAsia="zh-CN"/>
              </w:rPr>
              <w:t>和编码</w:t>
            </w:r>
          </w:p>
        </w:tc>
        <w:tc>
          <w:tcPr>
            <w:tcW w:w="1391" w:type="dxa"/>
            <w:vAlign w:val="center"/>
          </w:tcPr>
          <w:p w14:paraId="75750D2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增加电动自行车用充电器的编码要求</w:t>
            </w:r>
          </w:p>
        </w:tc>
      </w:tr>
      <w:tr w14:paraId="0C9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7A42B173">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86" w:type="dxa"/>
            <w:shd w:val="clear" w:color="auto" w:fill="auto"/>
            <w:vAlign w:val="center"/>
          </w:tcPr>
          <w:p w14:paraId="38C6A042">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有效</w:t>
            </w:r>
          </w:p>
        </w:tc>
        <w:tc>
          <w:tcPr>
            <w:tcW w:w="1508" w:type="dxa"/>
            <w:shd w:val="clear" w:color="auto" w:fill="auto"/>
            <w:vAlign w:val="center"/>
          </w:tcPr>
          <w:p w14:paraId="32E7D277">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不符合GB 42296－2022第1号修改单的要求</w:t>
            </w:r>
          </w:p>
        </w:tc>
        <w:tc>
          <w:tcPr>
            <w:tcW w:w="1312" w:type="dxa"/>
            <w:shd w:val="clear" w:color="auto" w:fill="auto"/>
            <w:vAlign w:val="center"/>
          </w:tcPr>
          <w:p w14:paraId="70905EC2">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3</w:t>
            </w:r>
          </w:p>
        </w:tc>
        <w:tc>
          <w:tcPr>
            <w:tcW w:w="2330" w:type="dxa"/>
            <w:shd w:val="clear" w:color="auto" w:fill="auto"/>
            <w:vAlign w:val="center"/>
          </w:tcPr>
          <w:p w14:paraId="6F0CBCE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240" w:type="dxa"/>
            <w:shd w:val="clear" w:color="auto" w:fill="auto"/>
            <w:vAlign w:val="center"/>
          </w:tcPr>
          <w:p w14:paraId="16388ABF">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 编码</w:t>
            </w:r>
          </w:p>
        </w:tc>
        <w:tc>
          <w:tcPr>
            <w:tcW w:w="1391" w:type="dxa"/>
            <w:shd w:val="clear" w:color="auto" w:fill="auto"/>
            <w:vAlign w:val="center"/>
          </w:tcPr>
          <w:p w14:paraId="58029906">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增加电动自行车用充电器的编码要求</w:t>
            </w:r>
          </w:p>
        </w:tc>
      </w:tr>
      <w:tr w14:paraId="0BE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65D96C3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86" w:type="dxa"/>
            <w:shd w:val="clear" w:color="auto" w:fill="auto"/>
            <w:vAlign w:val="center"/>
          </w:tcPr>
          <w:p w14:paraId="4DB47F99">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有效</w:t>
            </w:r>
          </w:p>
        </w:tc>
        <w:tc>
          <w:tcPr>
            <w:tcW w:w="1508" w:type="dxa"/>
            <w:shd w:val="clear" w:color="auto" w:fill="auto"/>
            <w:vAlign w:val="center"/>
          </w:tcPr>
          <w:p w14:paraId="10F1FA25">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42296－2022第1号修改单的要求</w:t>
            </w:r>
          </w:p>
        </w:tc>
        <w:tc>
          <w:tcPr>
            <w:tcW w:w="1312" w:type="dxa"/>
            <w:shd w:val="clear" w:color="auto" w:fill="auto"/>
            <w:vAlign w:val="center"/>
          </w:tcPr>
          <w:p w14:paraId="71E851A4">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4.1.3</w:t>
            </w:r>
          </w:p>
        </w:tc>
        <w:tc>
          <w:tcPr>
            <w:tcW w:w="2330" w:type="dxa"/>
            <w:shd w:val="clear" w:color="auto" w:fill="auto"/>
            <w:vAlign w:val="center"/>
          </w:tcPr>
          <w:p w14:paraId="0ECEA48A">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240" w:type="dxa"/>
            <w:shd w:val="clear" w:color="auto" w:fill="auto"/>
            <w:vAlign w:val="center"/>
          </w:tcPr>
          <w:p w14:paraId="15747304">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4.1.3 安装及使用形式</w:t>
            </w:r>
          </w:p>
        </w:tc>
        <w:tc>
          <w:tcPr>
            <w:tcW w:w="1391" w:type="dxa"/>
            <w:shd w:val="clear" w:color="auto" w:fill="auto"/>
            <w:vAlign w:val="center"/>
          </w:tcPr>
          <w:p w14:paraId="2BB5C286">
            <w:pPr>
              <w:tabs>
                <w:tab w:val="left" w:pos="1843"/>
              </w:tabs>
              <w:adjustRightInd/>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充电器不应设计、制造及使用车载形式</w:t>
            </w:r>
          </w:p>
        </w:tc>
      </w:tr>
      <w:tr w14:paraId="71E1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4DE18E2A">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86" w:type="dxa"/>
            <w:shd w:val="clear" w:color="auto" w:fill="auto"/>
            <w:vAlign w:val="center"/>
          </w:tcPr>
          <w:p w14:paraId="561DC6CA">
            <w:pPr>
              <w:tabs>
                <w:tab w:val="left" w:pos="1843"/>
              </w:tabs>
              <w:adjustRightInd/>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1508" w:type="dxa"/>
            <w:shd w:val="clear" w:color="auto" w:fill="auto"/>
            <w:vAlign w:val="center"/>
          </w:tcPr>
          <w:p w14:paraId="3A046B52">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根据实际需要增加钠离子蓄电池</w:t>
            </w:r>
          </w:p>
        </w:tc>
        <w:tc>
          <w:tcPr>
            <w:tcW w:w="1312" w:type="dxa"/>
            <w:shd w:val="clear" w:color="auto" w:fill="auto"/>
            <w:vAlign w:val="center"/>
          </w:tcPr>
          <w:p w14:paraId="64D0348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p w14:paraId="0F5F395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w:t>
            </w:r>
          </w:p>
        </w:tc>
        <w:tc>
          <w:tcPr>
            <w:tcW w:w="2330" w:type="dxa"/>
            <w:shd w:val="clear" w:color="auto" w:fill="auto"/>
            <w:vAlign w:val="center"/>
          </w:tcPr>
          <w:p w14:paraId="29FB1731">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240" w:type="dxa"/>
            <w:shd w:val="clear" w:color="auto" w:fill="auto"/>
            <w:vAlign w:val="center"/>
          </w:tcPr>
          <w:p w14:paraId="0015F88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钠离子蓄电池—N</w:t>
            </w:r>
          </w:p>
        </w:tc>
        <w:tc>
          <w:tcPr>
            <w:tcW w:w="1391" w:type="dxa"/>
            <w:shd w:val="clear" w:color="auto" w:fill="auto"/>
            <w:vAlign w:val="center"/>
          </w:tcPr>
          <w:p w14:paraId="5F70F94E">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w:t>
            </w:r>
            <w:r>
              <w:rPr>
                <w:rFonts w:hint="eastAsia" w:ascii="宋体" w:hAnsi="宋体" w:eastAsia="宋体" w:cs="宋体"/>
                <w:color w:val="auto"/>
                <w:sz w:val="21"/>
                <w:szCs w:val="21"/>
              </w:rPr>
              <w:t>电池类型代号</w:t>
            </w:r>
            <w:r>
              <w:rPr>
                <w:rFonts w:hint="eastAsia" w:ascii="宋体" w:hAnsi="宋体" w:eastAsia="宋体" w:cs="宋体"/>
                <w:color w:val="auto"/>
                <w:sz w:val="21"/>
                <w:szCs w:val="21"/>
                <w:lang w:val="en-US" w:eastAsia="zh-CN"/>
              </w:rPr>
              <w:t>“钠离子蓄电池”—N</w:t>
            </w:r>
          </w:p>
        </w:tc>
      </w:tr>
      <w:tr w14:paraId="3969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6A2D5652">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86" w:type="dxa"/>
            <w:shd w:val="clear" w:color="auto" w:fill="auto"/>
            <w:vAlign w:val="center"/>
          </w:tcPr>
          <w:p w14:paraId="5FFF6AE6">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6B5ED773">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42296－2022的要求</w:t>
            </w:r>
          </w:p>
        </w:tc>
        <w:tc>
          <w:tcPr>
            <w:tcW w:w="1312" w:type="dxa"/>
            <w:shd w:val="clear" w:color="auto" w:fill="auto"/>
            <w:vAlign w:val="center"/>
          </w:tcPr>
          <w:p w14:paraId="4865AFDF">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7.3.6.3</w:t>
            </w:r>
          </w:p>
        </w:tc>
        <w:tc>
          <w:tcPr>
            <w:tcW w:w="2330" w:type="dxa"/>
            <w:shd w:val="clear" w:color="auto" w:fill="auto"/>
            <w:vAlign w:val="center"/>
          </w:tcPr>
          <w:p w14:paraId="2588CCC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风扇堵转测试时，装有风扇的充电器应符合6.3.5的要求。</w:t>
            </w:r>
          </w:p>
        </w:tc>
        <w:tc>
          <w:tcPr>
            <w:tcW w:w="2240" w:type="dxa"/>
            <w:shd w:val="clear" w:color="auto" w:fill="auto"/>
            <w:vAlign w:val="center"/>
          </w:tcPr>
          <w:p w14:paraId="1550D69F">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 7.3.6.3规定的方法进行</w:t>
            </w:r>
            <w:r>
              <w:rPr>
                <w:rFonts w:hint="eastAsia" w:ascii="宋体" w:hAnsi="宋体" w:eastAsia="宋体" w:cs="宋体"/>
                <w:color w:val="auto"/>
                <w:sz w:val="21"/>
                <w:szCs w:val="21"/>
              </w:rPr>
              <w:t>风扇堵转测试，装有风扇的充电器应符合</w:t>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rPr>
              <w:t>。</w:t>
            </w:r>
          </w:p>
        </w:tc>
        <w:tc>
          <w:tcPr>
            <w:tcW w:w="1391" w:type="dxa"/>
            <w:shd w:val="clear" w:color="auto" w:fill="auto"/>
            <w:vAlign w:val="center"/>
          </w:tcPr>
          <w:p w14:paraId="77CC7CCE">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风扇堵转测试时</w:t>
            </w:r>
            <w:r>
              <w:rPr>
                <w:rFonts w:hint="eastAsia" w:ascii="宋体" w:hAnsi="宋体" w:eastAsia="宋体" w:cs="宋体"/>
                <w:color w:val="auto"/>
                <w:sz w:val="21"/>
                <w:szCs w:val="21"/>
                <w:lang w:val="en-US" w:eastAsia="zh-CN"/>
              </w:rPr>
              <w:t>考核项目由温升改为电气强度</w:t>
            </w:r>
          </w:p>
        </w:tc>
      </w:tr>
      <w:tr w14:paraId="2BDA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75B790D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86" w:type="dxa"/>
            <w:shd w:val="clear" w:color="auto" w:fill="auto"/>
            <w:vAlign w:val="center"/>
          </w:tcPr>
          <w:p w14:paraId="4D214D4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w:t>
            </w:r>
          </w:p>
        </w:tc>
        <w:tc>
          <w:tcPr>
            <w:tcW w:w="1508" w:type="dxa"/>
            <w:shd w:val="clear" w:color="auto" w:fill="auto"/>
            <w:vAlign w:val="center"/>
          </w:tcPr>
          <w:p w14:paraId="776B7DA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技术要求直接引用GB 42296－2022对应条款</w:t>
            </w:r>
          </w:p>
        </w:tc>
        <w:tc>
          <w:tcPr>
            <w:tcW w:w="1312" w:type="dxa"/>
            <w:shd w:val="clear" w:color="auto" w:fill="auto"/>
            <w:vAlign w:val="center"/>
          </w:tcPr>
          <w:p w14:paraId="5F093193">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6.6.1、6.6.2</w:t>
            </w:r>
          </w:p>
        </w:tc>
        <w:tc>
          <w:tcPr>
            <w:tcW w:w="2330" w:type="dxa"/>
            <w:shd w:val="clear" w:color="auto" w:fill="auto"/>
            <w:vAlign w:val="center"/>
          </w:tcPr>
          <w:p w14:paraId="0A60523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2240" w:type="dxa"/>
            <w:shd w:val="clear" w:color="auto" w:fill="auto"/>
            <w:vAlign w:val="center"/>
          </w:tcPr>
          <w:p w14:paraId="3737ABD5">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391" w:type="dxa"/>
            <w:shd w:val="clear" w:color="auto" w:fill="auto"/>
            <w:vAlign w:val="center"/>
          </w:tcPr>
          <w:p w14:paraId="734712A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14:paraId="54E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2D97A7CD">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86" w:type="dxa"/>
            <w:shd w:val="clear" w:color="auto" w:fill="auto"/>
            <w:vAlign w:val="center"/>
          </w:tcPr>
          <w:p w14:paraId="6B6B607D">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62C3A8AF">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42296－2022的要求</w:t>
            </w:r>
          </w:p>
        </w:tc>
        <w:tc>
          <w:tcPr>
            <w:tcW w:w="1312" w:type="dxa"/>
            <w:shd w:val="clear" w:color="auto" w:fill="auto"/>
            <w:vAlign w:val="center"/>
          </w:tcPr>
          <w:p w14:paraId="04C7C5B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6.6.2.2</w:t>
            </w:r>
          </w:p>
        </w:tc>
        <w:tc>
          <w:tcPr>
            <w:tcW w:w="2330" w:type="dxa"/>
            <w:shd w:val="clear" w:color="auto" w:fill="auto"/>
            <w:vAlign w:val="center"/>
          </w:tcPr>
          <w:p w14:paraId="632726AA">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240" w:type="dxa"/>
            <w:shd w:val="clear" w:color="auto" w:fill="auto"/>
            <w:vAlign w:val="center"/>
          </w:tcPr>
          <w:p w14:paraId="3406EEEC">
            <w:pPr>
              <w:pStyle w:val="20"/>
              <w:keepNext w:val="0"/>
              <w:keepLines w:val="0"/>
              <w:pageBreakBefore w:val="0"/>
              <w:widowControl/>
              <w:numPr>
                <w:ilvl w:val="3"/>
                <w:numId w:val="0"/>
              </w:numPr>
              <w:kinsoku/>
              <w:wordWrap w:val="0"/>
              <w:overflowPunct w:val="0"/>
              <w:topLinePunct w:val="0"/>
              <w:autoSpaceDE w:val="0"/>
              <w:autoSpaceDN w:val="0"/>
              <w:bidi w:val="0"/>
              <w:adjustRightInd/>
              <w:snapToGrid/>
              <w:spacing w:before="157" w:beforeLines="50" w:after="157" w:afterLines="50"/>
              <w:ind w:leftChars="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6.6.2.2 辐射骚扰</w:t>
            </w:r>
            <w:r>
              <w:rPr>
                <w:rFonts w:hint="eastAsia" w:ascii="宋体" w:hAnsi="宋体" w:eastAsia="宋体" w:cs="宋体"/>
                <w:color w:val="auto"/>
                <w:sz w:val="21"/>
                <w:szCs w:val="21"/>
                <w:highlight w:val="none"/>
              </w:rPr>
              <w:t>充电器</w:t>
            </w:r>
            <w:r>
              <w:rPr>
                <w:rFonts w:hint="eastAsia" w:ascii="宋体" w:hAnsi="宋体" w:eastAsia="宋体" w:cs="宋体"/>
                <w:color w:val="auto"/>
                <w:sz w:val="21"/>
                <w:szCs w:val="21"/>
                <w:highlight w:val="none"/>
                <w:lang w:val="en-US" w:eastAsia="zh-CN"/>
              </w:rPr>
              <w:t>辐射骚扰</w:t>
            </w:r>
            <w:r>
              <w:rPr>
                <w:rFonts w:hint="eastAsia" w:ascii="宋体" w:hAnsi="宋体" w:eastAsia="宋体" w:cs="宋体"/>
                <w:color w:val="auto"/>
                <w:sz w:val="21"/>
                <w:szCs w:val="21"/>
                <w:highlight w:val="none"/>
              </w:rPr>
              <w:t xml:space="preserve">符合GB </w:t>
            </w:r>
            <w:r>
              <w:rPr>
                <w:rFonts w:hint="eastAsia" w:ascii="宋体" w:hAnsi="宋体" w:eastAsia="宋体" w:cs="宋体"/>
                <w:color w:val="auto"/>
                <w:sz w:val="21"/>
                <w:szCs w:val="21"/>
                <w:highlight w:val="none"/>
                <w:lang w:val="en-US" w:eastAsia="zh-CN"/>
              </w:rPr>
              <w:t>42296</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5.7.2.2</w:t>
            </w:r>
            <w:r>
              <w:rPr>
                <w:rFonts w:hint="eastAsia" w:ascii="宋体" w:hAnsi="宋体" w:eastAsia="宋体" w:cs="宋体"/>
                <w:color w:val="auto"/>
                <w:sz w:val="21"/>
                <w:szCs w:val="21"/>
                <w:highlight w:val="none"/>
              </w:rPr>
              <w:t>的要求。</w:t>
            </w:r>
          </w:p>
        </w:tc>
        <w:tc>
          <w:tcPr>
            <w:tcW w:w="1391" w:type="dxa"/>
            <w:shd w:val="clear" w:color="auto" w:fill="auto"/>
            <w:vAlign w:val="center"/>
          </w:tcPr>
          <w:p w14:paraId="42517F41">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增加了辐射骚扰要求</w:t>
            </w:r>
          </w:p>
        </w:tc>
      </w:tr>
      <w:tr w14:paraId="55D0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058DB66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86" w:type="dxa"/>
            <w:shd w:val="clear" w:color="auto" w:fill="auto"/>
            <w:vAlign w:val="center"/>
          </w:tcPr>
          <w:p w14:paraId="68614416">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1508" w:type="dxa"/>
            <w:shd w:val="clear" w:color="auto" w:fill="auto"/>
            <w:vAlign w:val="center"/>
          </w:tcPr>
          <w:p w14:paraId="2B859F86">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更改了已知的条编号错误</w:t>
            </w:r>
          </w:p>
        </w:tc>
        <w:tc>
          <w:tcPr>
            <w:tcW w:w="1312" w:type="dxa"/>
            <w:shd w:val="clear" w:color="auto" w:fill="auto"/>
            <w:vAlign w:val="center"/>
          </w:tcPr>
          <w:p w14:paraId="0629C5B9">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6.8.1、6.8.3</w:t>
            </w:r>
          </w:p>
        </w:tc>
        <w:tc>
          <w:tcPr>
            <w:tcW w:w="2330" w:type="dxa"/>
            <w:shd w:val="clear" w:color="auto" w:fill="auto"/>
            <w:vAlign w:val="center"/>
          </w:tcPr>
          <w:p w14:paraId="720A247A">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6.5.1.1、6.5.1.2、6.5.1.3、6.5.3.1、6.5.3.2、6.5.3.3</w:t>
            </w:r>
          </w:p>
        </w:tc>
        <w:tc>
          <w:tcPr>
            <w:tcW w:w="2240" w:type="dxa"/>
            <w:shd w:val="clear" w:color="auto" w:fill="auto"/>
            <w:vAlign w:val="center"/>
          </w:tcPr>
          <w:p w14:paraId="1B654DB9">
            <w:pPr>
              <w:pStyle w:val="20"/>
              <w:keepNext w:val="0"/>
              <w:keepLines w:val="0"/>
              <w:pageBreakBefore w:val="0"/>
              <w:widowControl/>
              <w:numPr>
                <w:ilvl w:val="3"/>
                <w:numId w:val="0"/>
              </w:numPr>
              <w:kinsoku/>
              <w:wordWrap w:val="0"/>
              <w:overflowPunct w:val="0"/>
              <w:topLinePunct w:val="0"/>
              <w:autoSpaceDE w:val="0"/>
              <w:autoSpaceDN w:val="0"/>
              <w:bidi w:val="0"/>
              <w:adjustRightInd/>
              <w:snapToGrid/>
              <w:spacing w:before="157" w:beforeLines="50" w:after="157" w:afterLines="50"/>
              <w:ind w:leftChars="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6.8.1.1、6.8.1.2、6.8.1.3、6.8.3.1、6.8.3.2、6.8.3.3</w:t>
            </w:r>
          </w:p>
        </w:tc>
        <w:tc>
          <w:tcPr>
            <w:tcW w:w="1391" w:type="dxa"/>
            <w:shd w:val="clear" w:color="auto" w:fill="auto"/>
            <w:vAlign w:val="center"/>
          </w:tcPr>
          <w:p w14:paraId="0A8E0039">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条编号错误更正</w:t>
            </w:r>
          </w:p>
        </w:tc>
      </w:tr>
      <w:tr w14:paraId="236E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19734A1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686" w:type="dxa"/>
            <w:shd w:val="clear" w:color="auto" w:fill="auto"/>
            <w:vAlign w:val="center"/>
          </w:tcPr>
          <w:p w14:paraId="2E3ABBFD">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183BDDC9">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42296－2022第1号修改单的要求</w:t>
            </w:r>
          </w:p>
        </w:tc>
        <w:tc>
          <w:tcPr>
            <w:tcW w:w="1312" w:type="dxa"/>
            <w:shd w:val="clear" w:color="auto" w:fill="auto"/>
            <w:vAlign w:val="center"/>
          </w:tcPr>
          <w:p w14:paraId="065492C1">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6.8.6</w:t>
            </w:r>
          </w:p>
        </w:tc>
        <w:tc>
          <w:tcPr>
            <w:tcW w:w="2330" w:type="dxa"/>
            <w:shd w:val="clear" w:color="auto" w:fill="auto"/>
            <w:vAlign w:val="center"/>
          </w:tcPr>
          <w:p w14:paraId="2F101FE9">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 xml:space="preserve">应符合GB </w:t>
            </w:r>
            <w:r>
              <w:rPr>
                <w:rFonts w:hint="eastAsia" w:ascii="宋体" w:hAnsi="宋体" w:eastAsia="宋体" w:cs="宋体"/>
                <w:color w:val="auto"/>
                <w:sz w:val="21"/>
                <w:szCs w:val="21"/>
                <w:highlight w:val="none"/>
                <w:lang w:val="en-US" w:eastAsia="zh-CN"/>
              </w:rPr>
              <w:t>42296</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的规定。</w:t>
            </w:r>
          </w:p>
        </w:tc>
        <w:tc>
          <w:tcPr>
            <w:tcW w:w="2240" w:type="dxa"/>
            <w:shd w:val="clear" w:color="auto" w:fill="auto"/>
            <w:vAlign w:val="center"/>
          </w:tcPr>
          <w:p w14:paraId="4316E87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应符合GB </w:t>
            </w:r>
            <w:r>
              <w:rPr>
                <w:rFonts w:hint="eastAsia" w:ascii="宋体" w:hAnsi="宋体" w:eastAsia="宋体" w:cs="宋体"/>
                <w:color w:val="auto"/>
                <w:sz w:val="21"/>
                <w:szCs w:val="21"/>
                <w:highlight w:val="none"/>
                <w:lang w:val="en-US" w:eastAsia="zh-CN"/>
              </w:rPr>
              <w:t>42296</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的规定。</w:t>
            </w:r>
          </w:p>
          <w:p w14:paraId="4AC99A5A">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 xml:space="preserve">GB </w:t>
            </w:r>
            <w:r>
              <w:rPr>
                <w:rFonts w:hint="eastAsia" w:ascii="宋体" w:hAnsi="宋体" w:eastAsia="宋体" w:cs="宋体"/>
                <w:color w:val="auto"/>
                <w:sz w:val="21"/>
                <w:szCs w:val="21"/>
                <w:highlight w:val="none"/>
                <w:lang w:val="en-US" w:eastAsia="zh-CN"/>
              </w:rPr>
              <w:t>42296</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val="en-US" w:eastAsia="zh-CN"/>
              </w:rPr>
              <w:t>不适用无线充电器。</w:t>
            </w:r>
          </w:p>
        </w:tc>
        <w:tc>
          <w:tcPr>
            <w:tcW w:w="1391" w:type="dxa"/>
            <w:shd w:val="clear" w:color="auto" w:fill="auto"/>
            <w:vAlign w:val="center"/>
          </w:tcPr>
          <w:p w14:paraId="72C4EEA5">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增加限制条款</w:t>
            </w:r>
          </w:p>
        </w:tc>
      </w:tr>
      <w:tr w14:paraId="555E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7987ACA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86" w:type="dxa"/>
            <w:shd w:val="clear" w:color="auto" w:fill="auto"/>
            <w:vAlign w:val="center"/>
          </w:tcPr>
          <w:p w14:paraId="5D2BD25A">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3ACA6CEF">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试验方法直接引用GB 42296－2022对应条款</w:t>
            </w:r>
          </w:p>
        </w:tc>
        <w:tc>
          <w:tcPr>
            <w:tcW w:w="1312" w:type="dxa"/>
            <w:shd w:val="clear" w:color="auto" w:fill="auto"/>
            <w:vAlign w:val="center"/>
          </w:tcPr>
          <w:p w14:paraId="4F799F44">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7.2.1、7.2.2、7.3.1、7.3.2、7.3.3、7.3.4、7.3.5.1、7.3.6、7.3.7、7.3.8.1、7.3.9、7.4.1、7.4.2、7.4.3、7.6.1、7.6.2、7.6.3、7.8.1、7.8.2、7.8.3、7.8.5</w:t>
            </w:r>
          </w:p>
        </w:tc>
        <w:tc>
          <w:tcPr>
            <w:tcW w:w="2330" w:type="dxa"/>
            <w:shd w:val="clear" w:color="auto" w:fill="auto"/>
            <w:vAlign w:val="center"/>
          </w:tcPr>
          <w:p w14:paraId="5AB182C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240" w:type="dxa"/>
            <w:shd w:val="clear" w:color="auto" w:fill="auto"/>
            <w:vAlign w:val="center"/>
          </w:tcPr>
          <w:p w14:paraId="55546CA8">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1" w:type="dxa"/>
            <w:shd w:val="clear" w:color="auto" w:fill="auto"/>
            <w:vAlign w:val="center"/>
          </w:tcPr>
          <w:p w14:paraId="131C0DD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14:paraId="2E9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Align w:val="center"/>
          </w:tcPr>
          <w:p w14:paraId="579244E8">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686" w:type="dxa"/>
            <w:shd w:val="clear" w:color="auto" w:fill="auto"/>
            <w:vAlign w:val="center"/>
          </w:tcPr>
          <w:p w14:paraId="59E68D34">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4769085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42296－2022的要求</w:t>
            </w:r>
          </w:p>
        </w:tc>
        <w:tc>
          <w:tcPr>
            <w:tcW w:w="1312" w:type="dxa"/>
            <w:shd w:val="clear" w:color="auto" w:fill="auto"/>
            <w:vAlign w:val="center"/>
          </w:tcPr>
          <w:p w14:paraId="480E674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9.1.3</w:t>
            </w:r>
          </w:p>
        </w:tc>
        <w:tc>
          <w:tcPr>
            <w:tcW w:w="2330" w:type="dxa"/>
            <w:shd w:val="clear" w:color="auto" w:fill="auto"/>
            <w:vAlign w:val="center"/>
          </w:tcPr>
          <w:p w14:paraId="20B70C3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240" w:type="dxa"/>
            <w:shd w:val="clear" w:color="auto" w:fill="auto"/>
            <w:vAlign w:val="center"/>
          </w:tcPr>
          <w:p w14:paraId="7956AE9A">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9.1.3 </w:t>
            </w:r>
            <w:r>
              <w:rPr>
                <w:rFonts w:hint="eastAsia" w:ascii="宋体" w:hAnsi="宋体" w:eastAsia="宋体" w:cs="宋体"/>
                <w:color w:val="auto"/>
                <w:sz w:val="21"/>
                <w:szCs w:val="21"/>
              </w:rPr>
              <w:t>警示语</w:t>
            </w:r>
          </w:p>
          <w:p w14:paraId="14D15763">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充电器本体上明显位置应标明下列警示语</w:t>
            </w:r>
            <w:r>
              <w:rPr>
                <w:rFonts w:hint="eastAsia" w:ascii="宋体" w:hAnsi="宋体" w:eastAsia="宋体" w:cs="宋体"/>
                <w:color w:val="auto"/>
                <w:sz w:val="21"/>
                <w:szCs w:val="21"/>
                <w:lang w:eastAsia="zh-CN"/>
              </w:rPr>
              <w:t>：</w:t>
            </w:r>
          </w:p>
          <w:p w14:paraId="1BA0C050">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a）禁止给不可再充电的电池充电</w:t>
            </w:r>
            <w:r>
              <w:rPr>
                <w:rFonts w:hint="eastAsia" w:ascii="宋体" w:hAnsi="宋体" w:eastAsia="宋体" w:cs="宋体"/>
                <w:color w:val="auto"/>
                <w:sz w:val="21"/>
                <w:szCs w:val="21"/>
                <w:lang w:eastAsia="zh-CN"/>
              </w:rPr>
              <w:t>；</w:t>
            </w:r>
          </w:p>
          <w:p w14:paraId="17D1B67A">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b）充电过程中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严禁覆盖。</w:t>
            </w:r>
          </w:p>
        </w:tc>
        <w:tc>
          <w:tcPr>
            <w:tcW w:w="1391" w:type="dxa"/>
            <w:shd w:val="clear" w:color="auto" w:fill="auto"/>
            <w:vAlign w:val="center"/>
          </w:tcPr>
          <w:p w14:paraId="74A813AC">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明确警示语的内容</w:t>
            </w:r>
          </w:p>
        </w:tc>
      </w:tr>
      <w:tr w14:paraId="4D60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6" w:type="dxa"/>
            <w:vAlign w:val="center"/>
          </w:tcPr>
          <w:p w14:paraId="6F6E3BC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686" w:type="dxa"/>
            <w:shd w:val="clear" w:color="auto" w:fill="auto"/>
            <w:vAlign w:val="center"/>
          </w:tcPr>
          <w:p w14:paraId="3EAD3ABB">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5A156C07">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42296－2022的要求</w:t>
            </w:r>
          </w:p>
        </w:tc>
        <w:tc>
          <w:tcPr>
            <w:tcW w:w="1312" w:type="dxa"/>
            <w:shd w:val="clear" w:color="auto" w:fill="auto"/>
            <w:vAlign w:val="center"/>
          </w:tcPr>
          <w:p w14:paraId="20ED3C8D">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9.1.4</w:t>
            </w:r>
          </w:p>
        </w:tc>
        <w:tc>
          <w:tcPr>
            <w:tcW w:w="2330" w:type="dxa"/>
            <w:shd w:val="clear" w:color="auto" w:fill="auto"/>
            <w:vAlign w:val="center"/>
          </w:tcPr>
          <w:p w14:paraId="094FC145">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合同环境下可按需方要求标志。</w:t>
            </w:r>
          </w:p>
        </w:tc>
        <w:tc>
          <w:tcPr>
            <w:tcW w:w="2240" w:type="dxa"/>
            <w:shd w:val="clear" w:color="auto" w:fill="auto"/>
            <w:vAlign w:val="center"/>
          </w:tcPr>
          <w:p w14:paraId="0683FAFB">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充电器标识应清晰易读并持久耐用。通过视检并用手拿沾水的布擦拭标志15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再用沾汽油的布擦试15s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检查其符合性。</w:t>
            </w:r>
          </w:p>
          <w:p w14:paraId="456349B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经本条的全部试验后,标志仍应清晰易读,标志牌不应易揭下并且不应卷边。</w:t>
            </w:r>
          </w:p>
        </w:tc>
        <w:tc>
          <w:tcPr>
            <w:tcW w:w="1391" w:type="dxa"/>
            <w:shd w:val="clear" w:color="auto" w:fill="auto"/>
            <w:vAlign w:val="center"/>
          </w:tcPr>
          <w:p w14:paraId="55549E41">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明确了标识检验要求</w:t>
            </w:r>
          </w:p>
        </w:tc>
      </w:tr>
      <w:tr w14:paraId="349A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6" w:type="dxa"/>
            <w:vAlign w:val="center"/>
          </w:tcPr>
          <w:p w14:paraId="31ECAE0B">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86" w:type="dxa"/>
            <w:shd w:val="clear" w:color="auto" w:fill="auto"/>
            <w:vAlign w:val="center"/>
          </w:tcPr>
          <w:p w14:paraId="5A0C287A">
            <w:pPr>
              <w:tabs>
                <w:tab w:val="left" w:pos="1843"/>
              </w:tabs>
              <w:adjustRightInd/>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w:t>
            </w:r>
          </w:p>
        </w:tc>
        <w:tc>
          <w:tcPr>
            <w:tcW w:w="1508" w:type="dxa"/>
            <w:shd w:val="clear" w:color="auto" w:fill="auto"/>
            <w:vAlign w:val="center"/>
          </w:tcPr>
          <w:p w14:paraId="191773C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不符合GB 42296－2022的要求</w:t>
            </w:r>
          </w:p>
        </w:tc>
        <w:tc>
          <w:tcPr>
            <w:tcW w:w="1312" w:type="dxa"/>
            <w:shd w:val="clear" w:color="auto" w:fill="auto"/>
            <w:vAlign w:val="center"/>
          </w:tcPr>
          <w:p w14:paraId="7A727DAD">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9.2.1</w:t>
            </w:r>
          </w:p>
        </w:tc>
        <w:tc>
          <w:tcPr>
            <w:tcW w:w="2330" w:type="dxa"/>
            <w:shd w:val="clear" w:color="auto" w:fill="auto"/>
            <w:vAlign w:val="center"/>
          </w:tcPr>
          <w:p w14:paraId="0CB916BC">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说明书应随充电器一起提供，应具有但不限于以下内容:</w:t>
            </w:r>
          </w:p>
          <w:p w14:paraId="02DB45C5">
            <w:pPr>
              <w:numPr>
                <w:ilvl w:val="0"/>
                <w:numId w:val="4"/>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警告：禁止给不可再充电的电池充电；</w:t>
            </w:r>
          </w:p>
          <w:p w14:paraId="2BB67A0E">
            <w:pPr>
              <w:numPr>
                <w:ilvl w:val="0"/>
                <w:numId w:val="4"/>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充电过程中，充电器严禁覆盖，必须置于一个通风良好的地方；谨防火焰、火花及爆炸性气体；</w:t>
            </w:r>
          </w:p>
          <w:p w14:paraId="4786CB82">
            <w:pPr>
              <w:numPr>
                <w:ilvl w:val="0"/>
                <w:numId w:val="4"/>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如果电源软线损坏，为避免危险，必须由制造厂或其维修部或类似的专职人员进行更换。</w:t>
            </w:r>
          </w:p>
          <w:p w14:paraId="03F66100">
            <w:pPr>
              <w:ind w:firstLine="420" w:firstLineChars="200"/>
              <w:rPr>
                <w:rFonts w:hint="eastAsia" w:ascii="宋体" w:hAnsi="宋体" w:eastAsia="宋体" w:cs="宋体"/>
                <w:color w:val="auto"/>
                <w:sz w:val="21"/>
                <w:szCs w:val="21"/>
              </w:rPr>
            </w:pPr>
          </w:p>
        </w:tc>
        <w:tc>
          <w:tcPr>
            <w:tcW w:w="2240" w:type="dxa"/>
            <w:shd w:val="clear" w:color="auto" w:fill="auto"/>
            <w:vAlign w:val="center"/>
          </w:tcPr>
          <w:p w14:paraId="339E92BD">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说明书应随充电器一起提供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以保证充电器能安全使用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使用说明书应包含如下内容</w:t>
            </w:r>
            <w:r>
              <w:rPr>
                <w:rFonts w:hint="eastAsia" w:ascii="宋体" w:hAnsi="宋体" w:eastAsia="宋体" w:cs="宋体"/>
                <w:color w:val="auto"/>
                <w:sz w:val="21"/>
                <w:szCs w:val="21"/>
                <w:lang w:eastAsia="zh-CN"/>
              </w:rPr>
              <w:t>：</w:t>
            </w:r>
          </w:p>
          <w:p w14:paraId="08BFEE4F">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规定充电器所能充电的电池类型、规格、电压等级等</w:t>
            </w:r>
            <w:r>
              <w:rPr>
                <w:rFonts w:hint="eastAsia" w:ascii="宋体" w:hAnsi="宋体" w:eastAsia="宋体" w:cs="宋体"/>
                <w:color w:val="auto"/>
                <w:sz w:val="21"/>
                <w:szCs w:val="21"/>
                <w:lang w:eastAsia="zh-CN"/>
              </w:rPr>
              <w:t>；</w:t>
            </w:r>
          </w:p>
          <w:p w14:paraId="310A19AC">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指明充电器在充电过程中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电池应置于一个通风良好的地方</w:t>
            </w:r>
            <w:r>
              <w:rPr>
                <w:rFonts w:hint="eastAsia" w:ascii="宋体" w:hAnsi="宋体" w:eastAsia="宋体" w:cs="宋体"/>
                <w:color w:val="auto"/>
                <w:sz w:val="21"/>
                <w:szCs w:val="21"/>
                <w:lang w:eastAsia="zh-CN"/>
              </w:rPr>
              <w:t>；</w:t>
            </w:r>
          </w:p>
          <w:p w14:paraId="19BD90ED">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对于I类充电器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指明充电器只允许插人带接地的插座内</w:t>
            </w:r>
            <w:r>
              <w:rPr>
                <w:rFonts w:hint="eastAsia" w:ascii="宋体" w:hAnsi="宋体" w:eastAsia="宋体" w:cs="宋体"/>
                <w:color w:val="auto"/>
                <w:sz w:val="21"/>
                <w:szCs w:val="21"/>
                <w:lang w:eastAsia="zh-CN"/>
              </w:rPr>
              <w:t>；</w:t>
            </w:r>
          </w:p>
          <w:p w14:paraId="480E2E21">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对于自动充电器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介绍自动功能并指明任何限制</w:t>
            </w:r>
            <w:r>
              <w:rPr>
                <w:rFonts w:hint="eastAsia" w:ascii="宋体" w:hAnsi="宋体" w:eastAsia="宋体" w:cs="宋体"/>
                <w:color w:val="auto"/>
                <w:sz w:val="21"/>
                <w:szCs w:val="21"/>
                <w:lang w:eastAsia="zh-CN"/>
              </w:rPr>
              <w:t>；</w:t>
            </w:r>
          </w:p>
          <w:p w14:paraId="437F6393">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如果在用户的维护保养期间有必要采取预防措施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则应给出相应的详细说明</w:t>
            </w:r>
            <w:r>
              <w:rPr>
                <w:rFonts w:hint="eastAsia" w:ascii="宋体" w:hAnsi="宋体" w:eastAsia="宋体" w:cs="宋体"/>
                <w:color w:val="auto"/>
                <w:sz w:val="21"/>
                <w:szCs w:val="21"/>
                <w:lang w:eastAsia="zh-CN"/>
              </w:rPr>
              <w:t>；</w:t>
            </w:r>
          </w:p>
          <w:p w14:paraId="196ACD6B">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充电器不打算由有肢体、感官或精神能力缺陷或缺少使用经验和知识的人(包括儿童)使用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除非有负责他们安全的人对他们进行与充电器使用有关的监督或指导</w:t>
            </w:r>
            <w:r>
              <w:rPr>
                <w:rFonts w:hint="eastAsia" w:ascii="宋体" w:hAnsi="宋体" w:eastAsia="宋体" w:cs="宋体"/>
                <w:color w:val="auto"/>
                <w:sz w:val="21"/>
                <w:szCs w:val="21"/>
                <w:lang w:eastAsia="zh-CN"/>
              </w:rPr>
              <w:t>；</w:t>
            </w:r>
          </w:p>
          <w:p w14:paraId="66DC55A3">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应照看好儿童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确保他们不玩</w:t>
            </w:r>
            <w:r>
              <w:rPr>
                <w:rFonts w:hint="eastAsia" w:ascii="宋体" w:hAnsi="宋体" w:eastAsia="宋体" w:cs="宋体"/>
                <w:color w:val="auto"/>
                <w:sz w:val="21"/>
                <w:szCs w:val="21"/>
                <w:lang w:val="en-US" w:eastAsia="zh-CN"/>
              </w:rPr>
              <w:t>耍</w:t>
            </w:r>
            <w:r>
              <w:rPr>
                <w:rFonts w:hint="eastAsia" w:ascii="宋体" w:hAnsi="宋体" w:eastAsia="宋体" w:cs="宋体"/>
                <w:color w:val="auto"/>
                <w:sz w:val="21"/>
                <w:szCs w:val="21"/>
              </w:rPr>
              <w:t>本充电器</w:t>
            </w:r>
            <w:r>
              <w:rPr>
                <w:rFonts w:hint="eastAsia" w:ascii="宋体" w:hAnsi="宋体" w:eastAsia="宋体" w:cs="宋体"/>
                <w:color w:val="auto"/>
                <w:sz w:val="21"/>
                <w:szCs w:val="21"/>
                <w:lang w:eastAsia="zh-CN"/>
              </w:rPr>
              <w:t>；</w:t>
            </w:r>
          </w:p>
          <w:p w14:paraId="1DE91991">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在接通或断开充电器与电池的连接前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先断开电源</w:t>
            </w:r>
            <w:r>
              <w:rPr>
                <w:rFonts w:hint="eastAsia" w:ascii="宋体" w:hAnsi="宋体" w:eastAsia="宋体" w:cs="宋体"/>
                <w:color w:val="auto"/>
                <w:sz w:val="21"/>
                <w:szCs w:val="21"/>
                <w:lang w:eastAsia="zh-CN"/>
              </w:rPr>
              <w:t>；</w:t>
            </w:r>
          </w:p>
          <w:p w14:paraId="1FDE4547">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打算在海拔高于2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000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m使用的器具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应对使用时的最大海拔做出声明</w:t>
            </w:r>
            <w:r>
              <w:rPr>
                <w:rFonts w:hint="eastAsia" w:ascii="宋体" w:hAnsi="宋体" w:eastAsia="宋体" w:cs="宋体"/>
                <w:color w:val="auto"/>
                <w:sz w:val="21"/>
                <w:szCs w:val="21"/>
                <w:lang w:eastAsia="zh-CN"/>
              </w:rPr>
              <w:t>。</w:t>
            </w:r>
          </w:p>
        </w:tc>
        <w:tc>
          <w:tcPr>
            <w:tcW w:w="1391" w:type="dxa"/>
            <w:shd w:val="clear" w:color="auto" w:fill="auto"/>
            <w:vAlign w:val="center"/>
          </w:tcPr>
          <w:p w14:paraId="58C4C7F0">
            <w:pPr>
              <w:tabs>
                <w:tab w:val="left" w:pos="1843"/>
              </w:tabs>
              <w:adjustRightIn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细化说明书的内容</w:t>
            </w:r>
          </w:p>
        </w:tc>
      </w:tr>
    </w:tbl>
    <w:p w14:paraId="28FC2F51">
      <w:pPr>
        <w:adjustRightInd/>
        <w:spacing w:line="440" w:lineRule="exact"/>
        <w:ind w:firstLine="480" w:firstLineChars="200"/>
        <w:rPr>
          <w:rFonts w:ascii="仿宋_GB2312" w:hAnsi="等线" w:eastAsia="仿宋_GB2312"/>
          <w:sz w:val="24"/>
          <w:szCs w:val="22"/>
        </w:rPr>
      </w:pPr>
      <w:r>
        <w:rPr>
          <w:rFonts w:hint="eastAsia" w:ascii="仿宋_GB2312" w:hAnsi="等线" w:eastAsia="仿宋_GB2312"/>
          <w:sz w:val="24"/>
          <w:szCs w:val="22"/>
        </w:rPr>
        <w:t>①务必根据修改原因，列出所有修改的内容。</w:t>
      </w:r>
    </w:p>
    <w:p w14:paraId="6DAFF703">
      <w:pPr>
        <w:adjustRightInd/>
        <w:spacing w:line="440" w:lineRule="exact"/>
        <w:ind w:firstLine="480" w:firstLineChars="200"/>
        <w:rPr>
          <w:rFonts w:ascii="仿宋_GB2312" w:hAnsi="等线" w:eastAsia="仿宋_GB2312"/>
          <w:sz w:val="24"/>
          <w:szCs w:val="22"/>
        </w:rPr>
      </w:pPr>
      <w:r>
        <w:rPr>
          <w:rFonts w:hint="eastAsia" w:ascii="仿宋_GB2312" w:hAnsi="等线" w:eastAsia="仿宋_GB2312"/>
          <w:sz w:val="24"/>
          <w:szCs w:val="22"/>
        </w:rPr>
        <w:t>②修改内容涉及国家、行业、地方等强制和推荐执行标准的，应尽可能引用这些标准规定的内容（如试验方法、术语等），并确保指标不应低于相关要求。</w:t>
      </w:r>
    </w:p>
    <w:p w14:paraId="12A41DF6">
      <w:pPr>
        <w:pStyle w:val="13"/>
        <w:tabs>
          <w:tab w:val="left" w:pos="1843"/>
        </w:tabs>
        <w:spacing w:line="580" w:lineRule="exact"/>
        <w:ind w:firstLine="640"/>
        <w:jc w:val="left"/>
        <w:rPr>
          <w:rFonts w:ascii="黑体" w:hAnsi="黑体" w:eastAsia="黑体"/>
          <w:sz w:val="32"/>
          <w:szCs w:val="32"/>
        </w:rPr>
      </w:pPr>
      <w:r>
        <w:rPr>
          <w:rFonts w:hint="eastAsia" w:ascii="黑体" w:hAnsi="黑体" w:eastAsia="黑体"/>
          <w:sz w:val="32"/>
          <w:szCs w:val="32"/>
        </w:rPr>
        <w:t>三、先进性情况</w:t>
      </w:r>
    </w:p>
    <w:p w14:paraId="3D1E2130">
      <w:pPr>
        <w:pStyle w:val="12"/>
        <w:spacing w:line="580" w:lineRule="exact"/>
        <w:ind w:firstLine="640"/>
        <w:rPr>
          <w:rFonts w:ascii="仿宋" w:hAnsi="仿宋" w:eastAsia="仿宋"/>
          <w:sz w:val="32"/>
          <w:szCs w:val="32"/>
        </w:rPr>
      </w:pPr>
      <w:r>
        <w:rPr>
          <w:rFonts w:hint="eastAsia" w:ascii="仿宋" w:hAnsi="仿宋" w:eastAsia="仿宋"/>
          <w:sz w:val="32"/>
          <w:szCs w:val="32"/>
        </w:rPr>
        <w:t>参照制定的编制说明，编写先进性情况对比表。先进性指标有修改、增加的情况需要在第一行逐一列出。此次修订未变化的先进性指标复制编制说明中先进行情况。对照的国标、行标、国际标准以及高端实物、高端客户需要明确指出。</w:t>
      </w:r>
    </w:p>
    <w:tbl>
      <w:tblPr>
        <w:tblStyle w:val="7"/>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9"/>
        <w:gridCol w:w="2430"/>
        <w:gridCol w:w="1740"/>
        <w:gridCol w:w="1930"/>
        <w:gridCol w:w="1630"/>
      </w:tblGrid>
      <w:tr w14:paraId="3C33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988" w:type="dxa"/>
            <w:gridSpan w:val="3"/>
            <w:vAlign w:val="center"/>
          </w:tcPr>
          <w:p w14:paraId="47EBF877">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先进性指标修订情况</w:t>
            </w:r>
          </w:p>
        </w:tc>
        <w:tc>
          <w:tcPr>
            <w:tcW w:w="5300" w:type="dxa"/>
            <w:gridSpan w:val="3"/>
            <w:vAlign w:val="center"/>
          </w:tcPr>
          <w:p w14:paraId="42A7D8C1">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本次修订没有先进性指标项目变化</w:t>
            </w:r>
          </w:p>
        </w:tc>
      </w:tr>
      <w:tr w14:paraId="426B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vAlign w:val="center"/>
          </w:tcPr>
          <w:p w14:paraId="12DFC235">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849" w:type="dxa"/>
            <w:vAlign w:val="center"/>
          </w:tcPr>
          <w:p w14:paraId="2D2A1ECE">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w:t>
            </w:r>
          </w:p>
        </w:tc>
        <w:tc>
          <w:tcPr>
            <w:tcW w:w="2430" w:type="dxa"/>
            <w:vAlign w:val="center"/>
          </w:tcPr>
          <w:p w14:paraId="43EC9D7A">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本标准</w:t>
            </w:r>
          </w:p>
        </w:tc>
        <w:tc>
          <w:tcPr>
            <w:tcW w:w="1740" w:type="dxa"/>
            <w:vAlign w:val="center"/>
          </w:tcPr>
          <w:p w14:paraId="67622696">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国标GB/T 36944-2018</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电动自行车充电器技术要求</w:t>
            </w:r>
            <w:r>
              <w:rPr>
                <w:rFonts w:hint="eastAsia" w:ascii="宋体" w:hAnsi="宋体" w:eastAsia="宋体" w:cs="宋体"/>
                <w:color w:val="auto"/>
                <w:kern w:val="0"/>
                <w:sz w:val="21"/>
                <w:szCs w:val="21"/>
                <w:lang w:eastAsia="zh-CN"/>
              </w:rPr>
              <w:t>》</w:t>
            </w:r>
          </w:p>
        </w:tc>
        <w:tc>
          <w:tcPr>
            <w:tcW w:w="1930" w:type="dxa"/>
            <w:vAlign w:val="center"/>
          </w:tcPr>
          <w:p w14:paraId="3B6F3D75">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国标GB </w:t>
            </w:r>
            <w:r>
              <w:rPr>
                <w:rFonts w:hint="eastAsia" w:ascii="宋体" w:hAnsi="宋体" w:eastAsia="宋体" w:cs="宋体"/>
                <w:color w:val="auto"/>
                <w:kern w:val="0"/>
                <w:sz w:val="21"/>
                <w:szCs w:val="21"/>
                <w:lang w:val="en-US" w:eastAsia="zh-CN"/>
              </w:rPr>
              <w:t>42296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2022《</w:t>
            </w:r>
            <w:r>
              <w:rPr>
                <w:rFonts w:hint="eastAsia" w:ascii="宋体" w:hAnsi="宋体" w:eastAsia="宋体" w:cs="宋体"/>
                <w:color w:val="auto"/>
                <w:kern w:val="0"/>
                <w:sz w:val="21"/>
                <w:szCs w:val="21"/>
              </w:rPr>
              <w:t>电动自行车充电器</w:t>
            </w:r>
            <w:r>
              <w:rPr>
                <w:rFonts w:hint="eastAsia" w:ascii="宋体" w:hAnsi="宋体" w:eastAsia="宋体" w:cs="宋体"/>
                <w:color w:val="auto"/>
                <w:kern w:val="0"/>
                <w:sz w:val="21"/>
                <w:szCs w:val="21"/>
                <w:lang w:val="en-US" w:eastAsia="zh-CN"/>
              </w:rPr>
              <w:t>安全</w:t>
            </w:r>
            <w:r>
              <w:rPr>
                <w:rFonts w:hint="eastAsia" w:ascii="宋体" w:hAnsi="宋体" w:eastAsia="宋体" w:cs="宋体"/>
                <w:color w:val="auto"/>
                <w:kern w:val="0"/>
                <w:sz w:val="21"/>
                <w:szCs w:val="21"/>
              </w:rPr>
              <w:t>技术要求</w:t>
            </w:r>
            <w:r>
              <w:rPr>
                <w:rFonts w:hint="eastAsia" w:ascii="宋体" w:hAnsi="宋体" w:eastAsia="宋体" w:cs="宋体"/>
                <w:color w:val="auto"/>
                <w:kern w:val="0"/>
                <w:sz w:val="21"/>
                <w:szCs w:val="21"/>
                <w:lang w:eastAsia="zh-CN"/>
              </w:rPr>
              <w:t>》</w:t>
            </w:r>
          </w:p>
        </w:tc>
        <w:tc>
          <w:tcPr>
            <w:tcW w:w="1630" w:type="dxa"/>
            <w:vAlign w:val="center"/>
          </w:tcPr>
          <w:p w14:paraId="359579BC">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高端客户</w:t>
            </w:r>
          </w:p>
        </w:tc>
      </w:tr>
      <w:tr w14:paraId="0AFA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4423B8A9">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49" w:type="dxa"/>
            <w:vAlign w:val="center"/>
          </w:tcPr>
          <w:p w14:paraId="297014AC">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电源适应性</w:t>
            </w:r>
          </w:p>
        </w:tc>
        <w:tc>
          <w:tcPr>
            <w:tcW w:w="2430" w:type="dxa"/>
            <w:vAlign w:val="center"/>
          </w:tcPr>
          <w:p w14:paraId="4BD5C5D4">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实际输出电流与最大输出电流的偏差应不大于5%。</w:t>
            </w:r>
          </w:p>
        </w:tc>
        <w:tc>
          <w:tcPr>
            <w:tcW w:w="1740" w:type="dxa"/>
            <w:vAlign w:val="center"/>
          </w:tcPr>
          <w:p w14:paraId="63132A75">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实际输出电流与最大输出电流的偏差不应大于10%。</w:t>
            </w:r>
          </w:p>
        </w:tc>
        <w:tc>
          <w:tcPr>
            <w:tcW w:w="1930" w:type="dxa"/>
            <w:vAlign w:val="center"/>
          </w:tcPr>
          <w:p w14:paraId="7150BF8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实际输出电流与最大输出电流的偏差不应大于10%。</w:t>
            </w:r>
          </w:p>
        </w:tc>
        <w:tc>
          <w:tcPr>
            <w:tcW w:w="1630" w:type="dxa"/>
            <w:vAlign w:val="center"/>
          </w:tcPr>
          <w:p w14:paraId="41D106B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实际输出电流与最大输出电流的偏差不应大于10%。</w:t>
            </w:r>
          </w:p>
        </w:tc>
      </w:tr>
      <w:tr w14:paraId="719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4EE5CACB">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49" w:type="dxa"/>
            <w:vAlign w:val="center"/>
          </w:tcPr>
          <w:p w14:paraId="60A1AF60">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超温保护</w:t>
            </w:r>
          </w:p>
        </w:tc>
        <w:tc>
          <w:tcPr>
            <w:tcW w:w="2430" w:type="dxa"/>
            <w:vAlign w:val="center"/>
          </w:tcPr>
          <w:p w14:paraId="35D1E9B7">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当充电器的环境温度上升到60 ℃±5 ℃时，充电器应降低输出电流，当充电器的环境温度上升到70 ℃时，充电器应切断输出电流。</w:t>
            </w:r>
          </w:p>
        </w:tc>
        <w:tc>
          <w:tcPr>
            <w:tcW w:w="1740" w:type="dxa"/>
            <w:vAlign w:val="center"/>
          </w:tcPr>
          <w:p w14:paraId="50FFE447">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充电器的环境温度上升到70℃时，应在15 min内切断输出电流。</w:t>
            </w:r>
          </w:p>
        </w:tc>
        <w:tc>
          <w:tcPr>
            <w:tcW w:w="1930" w:type="dxa"/>
            <w:vAlign w:val="center"/>
          </w:tcPr>
          <w:p w14:paraId="03E5469F">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充电器的环境温度上升到70℃±</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℃时，应在15 min内切断输出电流。</w:t>
            </w:r>
          </w:p>
        </w:tc>
        <w:tc>
          <w:tcPr>
            <w:tcW w:w="1630" w:type="dxa"/>
            <w:vAlign w:val="center"/>
          </w:tcPr>
          <w:p w14:paraId="0DD2F88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充电器表面温度高于70℃时,停止输出；</w:t>
            </w:r>
          </w:p>
        </w:tc>
      </w:tr>
      <w:tr w14:paraId="2A7B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09" w:type="dxa"/>
            <w:vAlign w:val="center"/>
          </w:tcPr>
          <w:p w14:paraId="0D2255F6">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49" w:type="dxa"/>
            <w:vAlign w:val="center"/>
          </w:tcPr>
          <w:p w14:paraId="794876C9">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电气强度</w:t>
            </w:r>
          </w:p>
        </w:tc>
        <w:tc>
          <w:tcPr>
            <w:tcW w:w="2430" w:type="dxa"/>
            <w:vAlign w:val="center"/>
          </w:tcPr>
          <w:p w14:paraId="37F31C57">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测试电压值如下:</w:t>
            </w:r>
          </w:p>
          <w:p w14:paraId="6FEE817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 xml:space="preserve">a) </w:t>
            </w:r>
            <w:r>
              <w:rPr>
                <w:rFonts w:hint="eastAsia" w:ascii="宋体" w:hAnsi="宋体" w:eastAsia="宋体" w:cs="宋体"/>
                <w:color w:val="auto"/>
                <w:kern w:val="0"/>
                <w:sz w:val="21"/>
                <w:szCs w:val="21"/>
                <w:lang w:val="en-US" w:eastAsia="zh-CN"/>
              </w:rPr>
              <w:t>基本绝缘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1 500 V；b) </w:t>
            </w:r>
            <w:r>
              <w:rPr>
                <w:rFonts w:hint="eastAsia" w:ascii="宋体" w:hAnsi="宋体" w:eastAsia="宋体" w:cs="宋体"/>
                <w:color w:val="auto"/>
                <w:kern w:val="0"/>
                <w:sz w:val="21"/>
                <w:szCs w:val="21"/>
                <w:lang w:val="en-US" w:eastAsia="zh-CN"/>
              </w:rPr>
              <w:t>附加绝缘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0 V；</w:t>
            </w:r>
            <w:r>
              <w:rPr>
                <w:rFonts w:hint="eastAsia" w:ascii="宋体" w:hAnsi="宋体" w:eastAsia="宋体" w:cs="宋体"/>
                <w:color w:val="auto"/>
                <w:kern w:val="0"/>
                <w:sz w:val="21"/>
                <w:szCs w:val="21"/>
                <w:lang w:val="en-US" w:eastAsia="zh-CN"/>
              </w:rPr>
              <w:t>c</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加强绝缘：</w:t>
            </w:r>
            <w:r>
              <w:rPr>
                <w:rFonts w:hint="eastAsia" w:ascii="宋体" w:hAnsi="宋体" w:eastAsia="宋体" w:cs="宋体"/>
                <w:color w:val="auto"/>
                <w:kern w:val="0"/>
                <w:sz w:val="21"/>
                <w:szCs w:val="21"/>
              </w:rPr>
              <w:t>3 750 V。</w:t>
            </w:r>
          </w:p>
        </w:tc>
        <w:tc>
          <w:tcPr>
            <w:tcW w:w="1740" w:type="dxa"/>
            <w:vAlign w:val="center"/>
          </w:tcPr>
          <w:p w14:paraId="2211B441">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测试电压值如下:a)对Ⅰ类器具1250 V；b) 对Ⅱ类器具3500 V。</w:t>
            </w:r>
          </w:p>
        </w:tc>
        <w:tc>
          <w:tcPr>
            <w:tcW w:w="1930" w:type="dxa"/>
            <w:vAlign w:val="center"/>
          </w:tcPr>
          <w:p w14:paraId="4BFFB3B1">
            <w:pPr>
              <w:widowControl/>
              <w:spacing w:before="105" w:after="105"/>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测试电压值如下:</w:t>
            </w:r>
          </w:p>
          <w:p w14:paraId="4E5BB4F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 xml:space="preserve">a) </w:t>
            </w:r>
            <w:r>
              <w:rPr>
                <w:rFonts w:hint="eastAsia" w:ascii="宋体" w:hAnsi="宋体" w:eastAsia="宋体" w:cs="宋体"/>
                <w:color w:val="auto"/>
                <w:kern w:val="0"/>
                <w:sz w:val="21"/>
                <w:szCs w:val="21"/>
                <w:lang w:val="en-US" w:eastAsia="zh-CN"/>
              </w:rPr>
              <w:t>基本绝缘：</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rPr>
              <w:t xml:space="preserve">0 V；b) </w:t>
            </w:r>
            <w:r>
              <w:rPr>
                <w:rFonts w:hint="eastAsia" w:ascii="宋体" w:hAnsi="宋体" w:eastAsia="宋体" w:cs="宋体"/>
                <w:color w:val="auto"/>
                <w:kern w:val="0"/>
                <w:sz w:val="21"/>
                <w:szCs w:val="21"/>
                <w:lang w:val="en-US" w:eastAsia="zh-CN"/>
              </w:rPr>
              <w:t>附加绝缘：1</w:t>
            </w:r>
            <w:r>
              <w:rPr>
                <w:rFonts w:hint="eastAsia" w:ascii="宋体" w:hAnsi="宋体" w:eastAsia="宋体" w:cs="宋体"/>
                <w:color w:val="auto"/>
                <w:kern w:val="0"/>
                <w:sz w:val="21"/>
                <w:szCs w:val="21"/>
              </w:rPr>
              <w:t>750 V</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c</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加强绝缘：</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0 V。</w:t>
            </w:r>
          </w:p>
        </w:tc>
        <w:tc>
          <w:tcPr>
            <w:tcW w:w="1630" w:type="dxa"/>
            <w:vAlign w:val="center"/>
          </w:tcPr>
          <w:p w14:paraId="66C18E44">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试验电压AC3500V无击穿，不跳闸。</w:t>
            </w:r>
          </w:p>
        </w:tc>
      </w:tr>
      <w:tr w14:paraId="3560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9" w:type="dxa"/>
            <w:vAlign w:val="center"/>
          </w:tcPr>
          <w:p w14:paraId="295814A3">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49" w:type="dxa"/>
            <w:vAlign w:val="center"/>
          </w:tcPr>
          <w:p w14:paraId="53ED99DB">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过充切断</w:t>
            </w:r>
          </w:p>
        </w:tc>
        <w:tc>
          <w:tcPr>
            <w:tcW w:w="2430" w:type="dxa"/>
            <w:vAlign w:val="center"/>
          </w:tcPr>
          <w:p w14:paraId="1FFF57AA">
            <w:pPr>
              <w:ind w:firstLine="420" w:firstLineChars="200"/>
              <w:rPr>
                <w:rFonts w:hint="eastAsia" w:ascii="宋体" w:hAnsi="宋体" w:eastAsia="宋体" w:cs="宋体"/>
                <w:sz w:val="21"/>
                <w:szCs w:val="21"/>
              </w:rPr>
            </w:pPr>
            <w:r>
              <w:rPr>
                <w:rFonts w:hint="eastAsia" w:ascii="宋体" w:hAnsi="宋体" w:eastAsia="宋体" w:cs="宋体"/>
                <w:color w:val="auto"/>
                <w:kern w:val="0"/>
                <w:sz w:val="21"/>
                <w:szCs w:val="21"/>
              </w:rPr>
              <w:t>充电器对电池组在高效充电区进行充电，在电池组充入电量达到1.20 C时，其应自动切断输出电流。</w:t>
            </w:r>
          </w:p>
        </w:tc>
        <w:tc>
          <w:tcPr>
            <w:tcW w:w="1740" w:type="dxa"/>
            <w:vAlign w:val="center"/>
          </w:tcPr>
          <w:p w14:paraId="2737F698">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充电器对电池组在高效充电区进行充电，在电池组充入电量达到1.00 C时，其应自动切断输出电流。</w:t>
            </w:r>
          </w:p>
        </w:tc>
        <w:tc>
          <w:tcPr>
            <w:tcW w:w="1930" w:type="dxa"/>
            <w:vAlign w:val="center"/>
          </w:tcPr>
          <w:p w14:paraId="3927C93C">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充电器对电池组在高效充电区进行充电，</w:t>
            </w:r>
            <w:r>
              <w:rPr>
                <w:rFonts w:hint="eastAsia" w:ascii="宋体" w:hAnsi="宋体" w:eastAsia="宋体" w:cs="宋体"/>
                <w:color w:val="auto"/>
                <w:kern w:val="0"/>
                <w:sz w:val="21"/>
                <w:szCs w:val="21"/>
                <w:lang w:val="en-US" w:eastAsia="zh-CN"/>
              </w:rPr>
              <w:t>当</w:t>
            </w:r>
            <w:r>
              <w:rPr>
                <w:rFonts w:hint="eastAsia" w:ascii="宋体" w:hAnsi="宋体" w:eastAsia="宋体" w:cs="宋体"/>
                <w:color w:val="auto"/>
                <w:kern w:val="0"/>
                <w:sz w:val="21"/>
                <w:szCs w:val="21"/>
              </w:rPr>
              <w:t>电池充入电量</w:t>
            </w:r>
            <w:r>
              <w:rPr>
                <w:rFonts w:hint="eastAsia" w:ascii="宋体" w:hAnsi="宋体" w:eastAsia="宋体" w:cs="宋体"/>
                <w:color w:val="auto"/>
                <w:kern w:val="0"/>
                <w:sz w:val="21"/>
                <w:szCs w:val="21"/>
                <w:lang w:val="en-US" w:eastAsia="zh-CN"/>
              </w:rPr>
              <w:t>不超过</w:t>
            </w:r>
            <w:r>
              <w:rPr>
                <w:rFonts w:hint="eastAsia" w:ascii="宋体" w:hAnsi="宋体" w:eastAsia="宋体" w:cs="宋体"/>
                <w:color w:val="auto"/>
                <w:kern w:val="0"/>
                <w:sz w:val="21"/>
                <w:szCs w:val="21"/>
              </w:rPr>
              <w:t>1.20C时，其应自动</w:t>
            </w:r>
            <w:r>
              <w:rPr>
                <w:rFonts w:hint="eastAsia" w:ascii="宋体" w:hAnsi="宋体" w:eastAsia="宋体" w:cs="宋体"/>
                <w:color w:val="auto"/>
                <w:kern w:val="0"/>
                <w:sz w:val="21"/>
                <w:szCs w:val="21"/>
                <w:lang w:val="en-US" w:eastAsia="zh-CN"/>
              </w:rPr>
              <w:t>转入下一个充电阶段或者</w:t>
            </w:r>
            <w:r>
              <w:rPr>
                <w:rFonts w:hint="eastAsia" w:ascii="宋体" w:hAnsi="宋体" w:eastAsia="宋体" w:cs="宋体"/>
                <w:color w:val="auto"/>
                <w:kern w:val="0"/>
                <w:sz w:val="21"/>
                <w:szCs w:val="21"/>
              </w:rPr>
              <w:t>切断输出电流。</w:t>
            </w:r>
          </w:p>
        </w:tc>
        <w:tc>
          <w:tcPr>
            <w:tcW w:w="1630" w:type="dxa"/>
            <w:vAlign w:val="center"/>
          </w:tcPr>
          <w:p w14:paraId="0FA2970B">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充电器对电池组在高效充电区进行充电，电池组充入电量达到1.20C时，其应自动切断输出电流。</w:t>
            </w:r>
          </w:p>
        </w:tc>
      </w:tr>
      <w:tr w14:paraId="0845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58AB14A9">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49" w:type="dxa"/>
            <w:vAlign w:val="center"/>
          </w:tcPr>
          <w:p w14:paraId="7167B64F">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温升</w:t>
            </w:r>
          </w:p>
        </w:tc>
        <w:tc>
          <w:tcPr>
            <w:tcW w:w="2430" w:type="dxa"/>
            <w:vAlign w:val="center"/>
          </w:tcPr>
          <w:p w14:paraId="526E9F86">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充电器的表面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电源软线及输出线的</w:t>
            </w:r>
            <w:r>
              <w:rPr>
                <w:rFonts w:hint="eastAsia" w:ascii="宋体" w:hAnsi="宋体" w:eastAsia="宋体" w:cs="宋体"/>
                <w:color w:val="auto"/>
                <w:kern w:val="0"/>
                <w:sz w:val="21"/>
                <w:szCs w:val="21"/>
              </w:rPr>
              <w:t>温升不应大于30 K。</w:t>
            </w:r>
          </w:p>
        </w:tc>
        <w:tc>
          <w:tcPr>
            <w:tcW w:w="1740" w:type="dxa"/>
            <w:vAlign w:val="center"/>
          </w:tcPr>
          <w:p w14:paraId="2F7D6F4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充电器的表面温升应不大于50 K</w:t>
            </w:r>
          </w:p>
        </w:tc>
        <w:tc>
          <w:tcPr>
            <w:tcW w:w="1930" w:type="dxa"/>
            <w:vAlign w:val="center"/>
          </w:tcPr>
          <w:p w14:paraId="1C006067">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充电器的表面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电源软线及输出线的</w:t>
            </w:r>
            <w:r>
              <w:rPr>
                <w:rFonts w:hint="eastAsia" w:ascii="宋体" w:hAnsi="宋体" w:eastAsia="宋体" w:cs="宋体"/>
                <w:color w:val="auto"/>
                <w:kern w:val="0"/>
                <w:sz w:val="21"/>
                <w:szCs w:val="21"/>
              </w:rPr>
              <w:t>温升</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对金属材料</w:t>
            </w:r>
            <w:r>
              <w:rPr>
                <w:rFonts w:hint="eastAsia" w:ascii="宋体" w:hAnsi="宋体" w:eastAsia="宋体" w:cs="宋体"/>
                <w:color w:val="auto"/>
                <w:kern w:val="0"/>
                <w:sz w:val="21"/>
                <w:szCs w:val="21"/>
              </w:rPr>
              <w:t>不大于</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 K</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对非金属材料</w:t>
            </w:r>
            <w:r>
              <w:rPr>
                <w:rFonts w:hint="eastAsia" w:ascii="宋体" w:hAnsi="宋体" w:eastAsia="宋体" w:cs="宋体"/>
                <w:color w:val="auto"/>
                <w:kern w:val="0"/>
                <w:sz w:val="21"/>
                <w:szCs w:val="21"/>
              </w:rPr>
              <w:t>应不大于50 K</w:t>
            </w:r>
          </w:p>
        </w:tc>
        <w:tc>
          <w:tcPr>
            <w:tcW w:w="1630" w:type="dxa"/>
            <w:vAlign w:val="center"/>
          </w:tcPr>
          <w:p w14:paraId="7C29F01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充电器的表面温升应不大于30 K</w:t>
            </w:r>
          </w:p>
        </w:tc>
      </w:tr>
      <w:tr w14:paraId="616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5A936BE0">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49" w:type="dxa"/>
            <w:vAlign w:val="center"/>
          </w:tcPr>
          <w:p w14:paraId="527CFE07">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防护</w:t>
            </w:r>
            <w:r>
              <w:rPr>
                <w:rFonts w:hint="eastAsia" w:ascii="宋体" w:hAnsi="宋体" w:eastAsia="宋体" w:cs="宋体"/>
                <w:color w:val="auto"/>
                <w:kern w:val="0"/>
                <w:sz w:val="21"/>
                <w:szCs w:val="21"/>
              </w:rPr>
              <w:t>等级</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防水</w:t>
            </w:r>
            <w:r>
              <w:rPr>
                <w:rFonts w:hint="eastAsia" w:ascii="宋体" w:hAnsi="宋体" w:eastAsia="宋体" w:cs="宋体"/>
                <w:color w:val="auto"/>
                <w:kern w:val="0"/>
                <w:sz w:val="21"/>
                <w:szCs w:val="21"/>
                <w:lang w:eastAsia="zh-CN"/>
              </w:rPr>
              <w:t>）</w:t>
            </w:r>
          </w:p>
        </w:tc>
        <w:tc>
          <w:tcPr>
            <w:tcW w:w="2430" w:type="dxa"/>
            <w:vAlign w:val="center"/>
          </w:tcPr>
          <w:p w14:paraId="6D044754">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充电器应达到GB/T 4208-2017中IP</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5的要求。试验后应能通过电气强度试验。</w:t>
            </w:r>
          </w:p>
        </w:tc>
        <w:tc>
          <w:tcPr>
            <w:tcW w:w="1740" w:type="dxa"/>
            <w:vAlign w:val="center"/>
          </w:tcPr>
          <w:p w14:paraId="04113201">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无</w:t>
            </w:r>
          </w:p>
        </w:tc>
        <w:tc>
          <w:tcPr>
            <w:tcW w:w="1930" w:type="dxa"/>
            <w:vAlign w:val="center"/>
          </w:tcPr>
          <w:p w14:paraId="3675DFA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充电器应能经受IPX</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喷水试验。试验后应能通过电气强度试验。</w:t>
            </w:r>
          </w:p>
        </w:tc>
        <w:tc>
          <w:tcPr>
            <w:tcW w:w="1630" w:type="dxa"/>
            <w:vAlign w:val="center"/>
          </w:tcPr>
          <w:p w14:paraId="23224E3F">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充电器应能经受IPX5喷水试验。试验后应能通过电气强度试验。</w:t>
            </w:r>
          </w:p>
        </w:tc>
      </w:tr>
      <w:tr w14:paraId="6FA4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3B273964">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49" w:type="dxa"/>
            <w:vAlign w:val="center"/>
          </w:tcPr>
          <w:p w14:paraId="1C8DAA46">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元件失效</w:t>
            </w:r>
          </w:p>
        </w:tc>
        <w:tc>
          <w:tcPr>
            <w:tcW w:w="2430" w:type="dxa"/>
            <w:vAlign w:val="center"/>
          </w:tcPr>
          <w:p w14:paraId="0467E60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充电器电路中任何一个器件短路或开路，不应出现产生持续时间大于600 ms</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且电流有效值高于额定电流200%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的输出电流。</w:t>
            </w:r>
          </w:p>
        </w:tc>
        <w:tc>
          <w:tcPr>
            <w:tcW w:w="1740" w:type="dxa"/>
            <w:vAlign w:val="center"/>
          </w:tcPr>
          <w:p w14:paraId="241611C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无</w:t>
            </w:r>
          </w:p>
        </w:tc>
        <w:tc>
          <w:tcPr>
            <w:tcW w:w="1930" w:type="dxa"/>
            <w:vAlign w:val="center"/>
          </w:tcPr>
          <w:p w14:paraId="7CAE5B88">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充电器电路中任何一个器件短路或开路，不应出现产生持续时间大于</w:t>
            </w:r>
            <w:r>
              <w:rPr>
                <w:rFonts w:hint="eastAsia" w:ascii="宋体" w:hAnsi="宋体" w:eastAsia="宋体" w:cs="宋体"/>
                <w:color w:val="auto"/>
                <w:kern w:val="0"/>
                <w:sz w:val="21"/>
                <w:szCs w:val="21"/>
                <w:lang w:val="en-US" w:eastAsia="zh-CN"/>
              </w:rPr>
              <w:t xml:space="preserve">1.0 </w:t>
            </w:r>
            <w:r>
              <w:rPr>
                <w:rFonts w:hint="eastAsia" w:ascii="宋体" w:hAnsi="宋体" w:eastAsia="宋体" w:cs="宋体"/>
                <w:color w:val="auto"/>
                <w:kern w:val="0"/>
                <w:sz w:val="21"/>
                <w:szCs w:val="21"/>
              </w:rPr>
              <w:t>s</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且电流有效值高于额定电流200%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的输出电流。</w:t>
            </w:r>
          </w:p>
        </w:tc>
        <w:tc>
          <w:tcPr>
            <w:tcW w:w="1630" w:type="dxa"/>
            <w:vAlign w:val="center"/>
          </w:tcPr>
          <w:p w14:paraId="0C4023E5">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rPr>
              <w:t>充电器电路中任何一个器件短路或开路，不应出现电击、火灾、机械危险等。</w:t>
            </w:r>
          </w:p>
        </w:tc>
      </w:tr>
      <w:tr w14:paraId="4578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7EB583FF">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49" w:type="dxa"/>
            <w:vAlign w:val="center"/>
          </w:tcPr>
          <w:p w14:paraId="22DE62BA">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垂直燃烧</w:t>
            </w:r>
          </w:p>
        </w:tc>
        <w:tc>
          <w:tcPr>
            <w:tcW w:w="2430" w:type="dxa"/>
            <w:vAlign w:val="center"/>
          </w:tcPr>
          <w:p w14:paraId="3BE78910">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充电器外壳材料应符合 GB/T 5169.16－2017中V-0级的要求</w:t>
            </w:r>
          </w:p>
        </w:tc>
        <w:tc>
          <w:tcPr>
            <w:tcW w:w="1740" w:type="dxa"/>
            <w:vAlign w:val="center"/>
          </w:tcPr>
          <w:p w14:paraId="65516C23">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无</w:t>
            </w:r>
          </w:p>
        </w:tc>
        <w:tc>
          <w:tcPr>
            <w:tcW w:w="1930" w:type="dxa"/>
            <w:vAlign w:val="center"/>
          </w:tcPr>
          <w:p w14:paraId="32D6FF1D">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充电器外壳材料应符合 GB/T 5169.16－2017中V-0级的要求</w:t>
            </w:r>
          </w:p>
        </w:tc>
        <w:tc>
          <w:tcPr>
            <w:tcW w:w="1630" w:type="dxa"/>
            <w:vAlign w:val="center"/>
          </w:tcPr>
          <w:p w14:paraId="21CAF6C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充电器外壳材料应符合 GB/T 5169.16－2017中V-0级的要求</w:t>
            </w:r>
          </w:p>
        </w:tc>
      </w:tr>
      <w:tr w14:paraId="1899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75F47611">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49" w:type="dxa"/>
            <w:vAlign w:val="center"/>
          </w:tcPr>
          <w:p w14:paraId="5E0C7ECE">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针焰</w:t>
            </w:r>
          </w:p>
        </w:tc>
        <w:tc>
          <w:tcPr>
            <w:tcW w:w="2430" w:type="dxa"/>
            <w:vAlign w:val="center"/>
          </w:tcPr>
          <w:p w14:paraId="4C680155">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有</w:t>
            </w:r>
          </w:p>
        </w:tc>
        <w:tc>
          <w:tcPr>
            <w:tcW w:w="1740" w:type="dxa"/>
            <w:vAlign w:val="center"/>
          </w:tcPr>
          <w:p w14:paraId="4F0B047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无</w:t>
            </w:r>
          </w:p>
        </w:tc>
        <w:tc>
          <w:tcPr>
            <w:tcW w:w="1930" w:type="dxa"/>
            <w:vAlign w:val="center"/>
          </w:tcPr>
          <w:p w14:paraId="084E285D">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有</w:t>
            </w:r>
          </w:p>
        </w:tc>
        <w:tc>
          <w:tcPr>
            <w:tcW w:w="1630" w:type="dxa"/>
            <w:vAlign w:val="center"/>
          </w:tcPr>
          <w:p w14:paraId="22EC8281">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无</w:t>
            </w:r>
          </w:p>
        </w:tc>
      </w:tr>
      <w:tr w14:paraId="1154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vAlign w:val="center"/>
          </w:tcPr>
          <w:p w14:paraId="30228018">
            <w:pPr>
              <w:tabs>
                <w:tab w:val="left" w:pos="1843"/>
              </w:tabs>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49" w:type="dxa"/>
            <w:vAlign w:val="center"/>
          </w:tcPr>
          <w:p w14:paraId="52B5C1C7">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输出接口安全性</w:t>
            </w:r>
          </w:p>
        </w:tc>
        <w:tc>
          <w:tcPr>
            <w:tcW w:w="2430" w:type="dxa"/>
            <w:vAlign w:val="center"/>
          </w:tcPr>
          <w:p w14:paraId="76F37A1C">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有</w:t>
            </w:r>
          </w:p>
        </w:tc>
        <w:tc>
          <w:tcPr>
            <w:tcW w:w="1740" w:type="dxa"/>
            <w:vAlign w:val="center"/>
          </w:tcPr>
          <w:p w14:paraId="1FA663F6">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无</w:t>
            </w:r>
          </w:p>
        </w:tc>
        <w:tc>
          <w:tcPr>
            <w:tcW w:w="1930" w:type="dxa"/>
            <w:vAlign w:val="center"/>
          </w:tcPr>
          <w:p w14:paraId="31BE3248">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有</w:t>
            </w:r>
          </w:p>
        </w:tc>
        <w:tc>
          <w:tcPr>
            <w:tcW w:w="1630" w:type="dxa"/>
            <w:vAlign w:val="center"/>
          </w:tcPr>
          <w:p w14:paraId="7D40CA52">
            <w:pPr>
              <w:widowControl/>
              <w:spacing w:before="105" w:after="105"/>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无</w:t>
            </w:r>
          </w:p>
        </w:tc>
      </w:tr>
    </w:tbl>
    <w:p w14:paraId="2DD2F3DE">
      <w:pPr>
        <w:pStyle w:val="12"/>
        <w:tabs>
          <w:tab w:val="left" w:pos="1843"/>
        </w:tabs>
        <w:ind w:firstLine="0" w:firstLineChars="0"/>
        <w:rPr>
          <w:rFonts w:ascii="黑体" w:hAnsi="黑体" w:eastAsia="黑体"/>
          <w:sz w:val="32"/>
          <w:szCs w:val="32"/>
        </w:rPr>
      </w:pPr>
    </w:p>
    <w:sectPr>
      <w:footerReference r:id="rId3" w:type="default"/>
      <w:pgSz w:w="11906" w:h="16838"/>
      <w:pgMar w:top="2098"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1658"/>
      <w:docPartObj>
        <w:docPartGallery w:val="autotext"/>
      </w:docPartObj>
    </w:sdtPr>
    <w:sdtContent>
      <w:p w14:paraId="5553BF4C">
        <w:pPr>
          <w:pStyle w:val="4"/>
          <w:jc w:val="center"/>
        </w:pPr>
        <w:r>
          <w:rPr>
            <w:rFonts w:hint="eastAsia"/>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sz w:val="24"/>
            <w:szCs w:val="24"/>
          </w:rPr>
          <w:t xml:space="preserve"> —</w:t>
        </w:r>
      </w:p>
    </w:sdtContent>
  </w:sdt>
  <w:p w14:paraId="08DEA7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70B0"/>
    <w:multiLevelType w:val="singleLevel"/>
    <w:tmpl w:val="84C670B0"/>
    <w:lvl w:ilvl="0" w:tentative="0">
      <w:start w:val="1"/>
      <w:numFmt w:val="lowerLetter"/>
      <w:suff w:val="space"/>
      <w:lvlText w:val="%1）"/>
      <w:lvlJc w:val="left"/>
    </w:lvl>
  </w:abstractNum>
  <w:abstractNum w:abstractNumId="1">
    <w:nsid w:val="87D94185"/>
    <w:multiLevelType w:val="singleLevel"/>
    <w:tmpl w:val="87D94185"/>
    <w:lvl w:ilvl="0" w:tentative="0">
      <w:start w:val="1"/>
      <w:numFmt w:val="lowerLetter"/>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default" w:ascii="黑体" w:hAnsi="黑体" w:eastAsia="黑体" w:cs="黑体"/>
        <w:b w:val="0"/>
        <w:i w:val="0"/>
        <w:sz w:val="21"/>
        <w:szCs w:val="21"/>
      </w:rPr>
    </w:lvl>
    <w:lvl w:ilvl="1" w:tentative="0">
      <w:start w:val="1"/>
      <w:numFmt w:val="decimal"/>
      <w:suff w:val="nothing"/>
      <w:lvlText w:val="%1.%2　"/>
      <w:lvlJc w:val="left"/>
      <w:pPr>
        <w:ind w:left="1275" w:firstLine="0"/>
      </w:pPr>
      <w:rPr>
        <w:rFonts w:hint="default" w:ascii="黑体" w:hAnsi="黑体" w:eastAsia="黑体" w:cs="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567" w:firstLine="0"/>
      </w:pPr>
      <w:rPr>
        <w:rFonts w:hint="default" w:ascii="黑体" w:hAnsi="黑体" w:eastAsia="黑体" w:cs="黑体"/>
        <w:b w:val="0"/>
        <w:i w:val="0"/>
        <w:sz w:val="21"/>
      </w:rPr>
    </w:lvl>
    <w:lvl w:ilvl="3" w:tentative="0">
      <w:start w:val="1"/>
      <w:numFmt w:val="decimal"/>
      <w:pStyle w:val="21"/>
      <w:suff w:val="nothing"/>
      <w:lvlText w:val="%1.%2.%3.%4　"/>
      <w:lvlJc w:val="left"/>
      <w:pPr>
        <w:ind w:left="0" w:firstLine="0"/>
      </w:pPr>
      <w:rPr>
        <w:rFonts w:hint="default" w:ascii="黑体" w:hAnsi="黑体" w:eastAsia="黑体" w:cs="黑体"/>
        <w:b w:val="0"/>
        <w:i w:val="0"/>
        <w:sz w:val="21"/>
      </w:rPr>
    </w:lvl>
    <w:lvl w:ilvl="4" w:tentative="0">
      <w:start w:val="1"/>
      <w:numFmt w:val="decimal"/>
      <w:suff w:val="nothing"/>
      <w:lvlText w:val="%1.%2.%3.%4.%5　"/>
      <w:lvlJc w:val="left"/>
      <w:pPr>
        <w:ind w:left="0" w:firstLine="0"/>
      </w:pPr>
      <w:rPr>
        <w:rFonts w:hint="eastAsia" w:ascii="Courier New" w:hAnsi="等线 Light" w:eastAsia="Courier New"/>
        <w:b w:val="0"/>
        <w:i w:val="0"/>
        <w:sz w:val="21"/>
      </w:rPr>
    </w:lvl>
    <w:lvl w:ilvl="5" w:tentative="0">
      <w:start w:val="1"/>
      <w:numFmt w:val="decimal"/>
      <w:suff w:val="nothing"/>
      <w:lvlText w:val="%1.%2.%3.%4.%5.%6　"/>
      <w:lvlJc w:val="left"/>
      <w:pPr>
        <w:ind w:left="0" w:firstLine="0"/>
      </w:pPr>
      <w:rPr>
        <w:rFonts w:hint="eastAsia" w:ascii="Courier New" w:hAnsi="等线 Light" w:eastAsia="Courier New"/>
        <w:b w:val="0"/>
        <w:i w:val="0"/>
        <w:sz w:val="21"/>
      </w:rPr>
    </w:lvl>
    <w:lvl w:ilvl="6" w:tentative="0">
      <w:start w:val="1"/>
      <w:numFmt w:val="decimal"/>
      <w:suff w:val="nothing"/>
      <w:lvlText w:val="%1%2.%3.%4.%5.%6.%7　"/>
      <w:lvlJc w:val="left"/>
      <w:pPr>
        <w:ind w:left="0" w:firstLine="0"/>
      </w:pPr>
      <w:rPr>
        <w:rFonts w:hint="eastAsia" w:ascii="Courier New" w:hAnsi="等线 Light" w:eastAsia="Courier New"/>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16"/>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MingLiU" w:hAnsi="MingLiU"/>
        <w:color w:val="auto"/>
      </w:rPr>
    </w:lvl>
    <w:lvl w:ilvl="2" w:tentative="0">
      <w:start w:val="1"/>
      <w:numFmt w:val="bullet"/>
      <w:lvlText w:val=""/>
      <w:lvlJc w:val="left"/>
      <w:pPr>
        <w:tabs>
          <w:tab w:val="left" w:pos="1678"/>
        </w:tabs>
        <w:ind w:left="1678" w:hanging="414"/>
      </w:pPr>
      <w:rPr>
        <w:rFonts w:hint="default" w:ascii="MingLiU" w:hAnsi="MingLiU"/>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Courier New" w:hAnsi="等线 Light" w:eastAsia="Courier New"/>
        <w:b w:val="0"/>
        <w:i w:val="0"/>
        <w:spacing w:val="0"/>
        <w:w w:val="100"/>
        <w:sz w:val="21"/>
      </w:rPr>
    </w:lvl>
    <w:lvl w:ilvl="1" w:tentative="0">
      <w:start w:val="1"/>
      <w:numFmt w:val="decimal"/>
      <w:pStyle w:val="19"/>
      <w:suff w:val="nothing"/>
      <w:lvlText w:val="%1.%2　"/>
      <w:lvlJc w:val="left"/>
      <w:pPr>
        <w:ind w:left="0" w:firstLine="0"/>
      </w:pPr>
      <w:rPr>
        <w:rFonts w:hint="eastAsia" w:ascii="Courier New" w:hAnsi="等线 Light" w:eastAsia="Courier New"/>
        <w:b w:val="0"/>
        <w:i w:val="0"/>
        <w:snapToGrid/>
        <w:spacing w:val="0"/>
        <w:w w:val="100"/>
        <w:kern w:val="21"/>
        <w:sz w:val="21"/>
      </w:rPr>
    </w:lvl>
    <w:lvl w:ilvl="2" w:tentative="0">
      <w:start w:val="1"/>
      <w:numFmt w:val="decimal"/>
      <w:suff w:val="nothing"/>
      <w:lvlText w:val="%1.%2.%3　"/>
      <w:lvlJc w:val="left"/>
      <w:pPr>
        <w:ind w:left="0" w:firstLine="0"/>
      </w:pPr>
      <w:rPr>
        <w:rFonts w:hint="eastAsia" w:ascii="Courier New" w:hAnsi="等线 Light" w:eastAsia="Courier New"/>
        <w:b w:val="0"/>
        <w:i w:val="0"/>
        <w:sz w:val="21"/>
      </w:rPr>
    </w:lvl>
    <w:lvl w:ilvl="3" w:tentative="0">
      <w:start w:val="1"/>
      <w:numFmt w:val="decimal"/>
      <w:suff w:val="nothing"/>
      <w:lvlText w:val="%1.%2.%3.%4　"/>
      <w:lvlJc w:val="left"/>
      <w:pPr>
        <w:ind w:left="0" w:firstLine="0"/>
      </w:pPr>
      <w:rPr>
        <w:rFonts w:hint="eastAsia" w:ascii="Courier New" w:hAnsi="等线 Light" w:eastAsia="Courier New"/>
        <w:b w:val="0"/>
        <w:i w:val="0"/>
        <w:sz w:val="21"/>
      </w:rPr>
    </w:lvl>
    <w:lvl w:ilvl="4" w:tentative="0">
      <w:start w:val="1"/>
      <w:numFmt w:val="decimal"/>
      <w:suff w:val="nothing"/>
      <w:lvlText w:val="%1.%2.%3.%4.%5　"/>
      <w:lvlJc w:val="left"/>
      <w:pPr>
        <w:ind w:left="0" w:firstLine="0"/>
      </w:pPr>
      <w:rPr>
        <w:rFonts w:hint="eastAsia" w:ascii="Courier New" w:hAnsi="等线 Light" w:eastAsia="Courier New"/>
        <w:b w:val="0"/>
        <w:i w:val="0"/>
        <w:sz w:val="21"/>
      </w:rPr>
    </w:lvl>
    <w:lvl w:ilvl="5" w:tentative="0">
      <w:start w:val="1"/>
      <w:numFmt w:val="decimal"/>
      <w:suff w:val="nothing"/>
      <w:lvlText w:val="%1.%2.%3.%4.%5.%6　"/>
      <w:lvlJc w:val="left"/>
      <w:pPr>
        <w:ind w:left="0" w:firstLine="0"/>
      </w:pPr>
      <w:rPr>
        <w:rFonts w:hint="eastAsia" w:ascii="Courier New" w:hAnsi="等线 Light" w:eastAsia="Courier New"/>
        <w:b w:val="0"/>
        <w:i w:val="0"/>
        <w:sz w:val="21"/>
      </w:rPr>
    </w:lvl>
    <w:lvl w:ilvl="6" w:tentative="0">
      <w:start w:val="1"/>
      <w:numFmt w:val="decimal"/>
      <w:suff w:val="nothing"/>
      <w:lvlText w:val="%1.%2.%3.%4.%5.%6.%7　"/>
      <w:lvlJc w:val="left"/>
      <w:pPr>
        <w:ind w:left="0" w:firstLine="0"/>
      </w:pPr>
      <w:rPr>
        <w:rFonts w:hint="eastAsia" w:ascii="Courier New" w:hAnsi="等线 Light" w:eastAsia="Courier New"/>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0A"/>
    <w:rsid w:val="000110FD"/>
    <w:rsid w:val="0003499B"/>
    <w:rsid w:val="00034F09"/>
    <w:rsid w:val="00053821"/>
    <w:rsid w:val="00053B26"/>
    <w:rsid w:val="00057705"/>
    <w:rsid w:val="00065D79"/>
    <w:rsid w:val="00090987"/>
    <w:rsid w:val="000976AA"/>
    <w:rsid w:val="000C65BF"/>
    <w:rsid w:val="000C6F31"/>
    <w:rsid w:val="000E4C57"/>
    <w:rsid w:val="000F669C"/>
    <w:rsid w:val="00101535"/>
    <w:rsid w:val="00126CC3"/>
    <w:rsid w:val="00136747"/>
    <w:rsid w:val="00140190"/>
    <w:rsid w:val="00154196"/>
    <w:rsid w:val="00161050"/>
    <w:rsid w:val="001673D4"/>
    <w:rsid w:val="00174CF1"/>
    <w:rsid w:val="00182C08"/>
    <w:rsid w:val="00182C29"/>
    <w:rsid w:val="00184CA2"/>
    <w:rsid w:val="00194CD9"/>
    <w:rsid w:val="001A4C49"/>
    <w:rsid w:val="001B0F0C"/>
    <w:rsid w:val="001B6EE6"/>
    <w:rsid w:val="001E02E6"/>
    <w:rsid w:val="002121D5"/>
    <w:rsid w:val="00221E85"/>
    <w:rsid w:val="002322EE"/>
    <w:rsid w:val="0024070E"/>
    <w:rsid w:val="00242176"/>
    <w:rsid w:val="00254966"/>
    <w:rsid w:val="00256377"/>
    <w:rsid w:val="0027024D"/>
    <w:rsid w:val="0027056F"/>
    <w:rsid w:val="00293523"/>
    <w:rsid w:val="00296FD9"/>
    <w:rsid w:val="00297C9D"/>
    <w:rsid w:val="002B1FAF"/>
    <w:rsid w:val="002C075C"/>
    <w:rsid w:val="00315D6F"/>
    <w:rsid w:val="00325006"/>
    <w:rsid w:val="00331DFB"/>
    <w:rsid w:val="00346793"/>
    <w:rsid w:val="003501E3"/>
    <w:rsid w:val="003507F6"/>
    <w:rsid w:val="003523CF"/>
    <w:rsid w:val="003730C8"/>
    <w:rsid w:val="00383F04"/>
    <w:rsid w:val="00394949"/>
    <w:rsid w:val="003A1C49"/>
    <w:rsid w:val="003A3391"/>
    <w:rsid w:val="003A7C30"/>
    <w:rsid w:val="003B71DC"/>
    <w:rsid w:val="003D1ED7"/>
    <w:rsid w:val="003E0016"/>
    <w:rsid w:val="003E48EE"/>
    <w:rsid w:val="0040126E"/>
    <w:rsid w:val="00407CBA"/>
    <w:rsid w:val="00411B7B"/>
    <w:rsid w:val="00417166"/>
    <w:rsid w:val="00451741"/>
    <w:rsid w:val="00454EA7"/>
    <w:rsid w:val="00461FB3"/>
    <w:rsid w:val="00462AE6"/>
    <w:rsid w:val="00480EAE"/>
    <w:rsid w:val="004C6284"/>
    <w:rsid w:val="00505C07"/>
    <w:rsid w:val="00524403"/>
    <w:rsid w:val="00550BC9"/>
    <w:rsid w:val="00551CA3"/>
    <w:rsid w:val="00564064"/>
    <w:rsid w:val="00573820"/>
    <w:rsid w:val="0058265E"/>
    <w:rsid w:val="005913E1"/>
    <w:rsid w:val="00596202"/>
    <w:rsid w:val="00596924"/>
    <w:rsid w:val="005C6827"/>
    <w:rsid w:val="005D1CEA"/>
    <w:rsid w:val="005E5FFF"/>
    <w:rsid w:val="00616020"/>
    <w:rsid w:val="00630DDB"/>
    <w:rsid w:val="00633E8F"/>
    <w:rsid w:val="006353E1"/>
    <w:rsid w:val="00644303"/>
    <w:rsid w:val="00653743"/>
    <w:rsid w:val="00653EDF"/>
    <w:rsid w:val="00661B3D"/>
    <w:rsid w:val="00661C0F"/>
    <w:rsid w:val="00675677"/>
    <w:rsid w:val="0068461C"/>
    <w:rsid w:val="0069173E"/>
    <w:rsid w:val="006A0DF1"/>
    <w:rsid w:val="006B6D9E"/>
    <w:rsid w:val="006D0B81"/>
    <w:rsid w:val="006E4C57"/>
    <w:rsid w:val="006F41B2"/>
    <w:rsid w:val="00716E6F"/>
    <w:rsid w:val="0074317A"/>
    <w:rsid w:val="00746D03"/>
    <w:rsid w:val="0075627E"/>
    <w:rsid w:val="00774881"/>
    <w:rsid w:val="007A36B1"/>
    <w:rsid w:val="007A5306"/>
    <w:rsid w:val="007F4783"/>
    <w:rsid w:val="007F7C5E"/>
    <w:rsid w:val="00806F52"/>
    <w:rsid w:val="00810E72"/>
    <w:rsid w:val="00813C00"/>
    <w:rsid w:val="00817292"/>
    <w:rsid w:val="00817A1E"/>
    <w:rsid w:val="00817EBB"/>
    <w:rsid w:val="00822808"/>
    <w:rsid w:val="00852F93"/>
    <w:rsid w:val="0085593B"/>
    <w:rsid w:val="00861D90"/>
    <w:rsid w:val="00880F4F"/>
    <w:rsid w:val="008A1563"/>
    <w:rsid w:val="008A39C5"/>
    <w:rsid w:val="008A54FC"/>
    <w:rsid w:val="008C0946"/>
    <w:rsid w:val="008C6E06"/>
    <w:rsid w:val="008E0572"/>
    <w:rsid w:val="008F390E"/>
    <w:rsid w:val="0093733B"/>
    <w:rsid w:val="00943CBE"/>
    <w:rsid w:val="00950171"/>
    <w:rsid w:val="00964A68"/>
    <w:rsid w:val="009A0AA4"/>
    <w:rsid w:val="009E5A5E"/>
    <w:rsid w:val="009F26DF"/>
    <w:rsid w:val="009F43F7"/>
    <w:rsid w:val="00A10D94"/>
    <w:rsid w:val="00A33E8A"/>
    <w:rsid w:val="00A44190"/>
    <w:rsid w:val="00A5177B"/>
    <w:rsid w:val="00A67C1B"/>
    <w:rsid w:val="00AA2ED4"/>
    <w:rsid w:val="00AB3F07"/>
    <w:rsid w:val="00AB50DC"/>
    <w:rsid w:val="00AF29F6"/>
    <w:rsid w:val="00B058F4"/>
    <w:rsid w:val="00B266A6"/>
    <w:rsid w:val="00B311A2"/>
    <w:rsid w:val="00B61703"/>
    <w:rsid w:val="00B83D3D"/>
    <w:rsid w:val="00B91B1B"/>
    <w:rsid w:val="00BA2543"/>
    <w:rsid w:val="00BC3750"/>
    <w:rsid w:val="00BC387F"/>
    <w:rsid w:val="00BD2CAF"/>
    <w:rsid w:val="00BE301A"/>
    <w:rsid w:val="00BF0C80"/>
    <w:rsid w:val="00C06010"/>
    <w:rsid w:val="00C128C6"/>
    <w:rsid w:val="00C15F0B"/>
    <w:rsid w:val="00C67924"/>
    <w:rsid w:val="00C86DD6"/>
    <w:rsid w:val="00CA7A30"/>
    <w:rsid w:val="00CC28CA"/>
    <w:rsid w:val="00CC2D4F"/>
    <w:rsid w:val="00CC4F1A"/>
    <w:rsid w:val="00CF55E1"/>
    <w:rsid w:val="00D07797"/>
    <w:rsid w:val="00D07DB5"/>
    <w:rsid w:val="00D76A2B"/>
    <w:rsid w:val="00D76F0C"/>
    <w:rsid w:val="00D81248"/>
    <w:rsid w:val="00D83EC5"/>
    <w:rsid w:val="00DA3B55"/>
    <w:rsid w:val="00DC1C18"/>
    <w:rsid w:val="00DE0E31"/>
    <w:rsid w:val="00E02853"/>
    <w:rsid w:val="00E02BA2"/>
    <w:rsid w:val="00E0430A"/>
    <w:rsid w:val="00E104A0"/>
    <w:rsid w:val="00E354ED"/>
    <w:rsid w:val="00E406FD"/>
    <w:rsid w:val="00E42439"/>
    <w:rsid w:val="00E42F31"/>
    <w:rsid w:val="00E57500"/>
    <w:rsid w:val="00E629B0"/>
    <w:rsid w:val="00E72839"/>
    <w:rsid w:val="00E81BDA"/>
    <w:rsid w:val="00EA7574"/>
    <w:rsid w:val="00ED17A8"/>
    <w:rsid w:val="00ED4031"/>
    <w:rsid w:val="00ED6264"/>
    <w:rsid w:val="00EF2C86"/>
    <w:rsid w:val="00F0251E"/>
    <w:rsid w:val="00F3354D"/>
    <w:rsid w:val="00F33952"/>
    <w:rsid w:val="00F34FAC"/>
    <w:rsid w:val="00F433B3"/>
    <w:rsid w:val="00F526C6"/>
    <w:rsid w:val="00F9093E"/>
    <w:rsid w:val="00F93F2F"/>
    <w:rsid w:val="00FA7378"/>
    <w:rsid w:val="00FC0F70"/>
    <w:rsid w:val="00FC3AD2"/>
    <w:rsid w:val="00FC4901"/>
    <w:rsid w:val="00FD002C"/>
    <w:rsid w:val="00FD3498"/>
    <w:rsid w:val="00FD6E59"/>
    <w:rsid w:val="07310428"/>
    <w:rsid w:val="14945738"/>
    <w:rsid w:val="1D9B261A"/>
    <w:rsid w:val="29283150"/>
    <w:rsid w:val="36127662"/>
    <w:rsid w:val="3B5D312D"/>
    <w:rsid w:val="53B41875"/>
    <w:rsid w:val="596F2552"/>
    <w:rsid w:val="5D3778FE"/>
    <w:rsid w:val="5D6E60BF"/>
    <w:rsid w:val="63915694"/>
    <w:rsid w:val="66E10C4D"/>
    <w:rsid w:val="6B800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2 字符"/>
    <w:basedOn w:val="8"/>
    <w:link w:val="2"/>
    <w:qFormat/>
    <w:uiPriority w:val="0"/>
    <w:rPr>
      <w:rFonts w:ascii="仿宋_GB2312" w:hAnsi="仿宋" w:eastAsia="仿宋_GB2312" w:cs="Times New Roman"/>
      <w:b/>
      <w:bCs/>
      <w:sz w:val="32"/>
      <w:szCs w:val="32"/>
      <w:lang w:val="zh-CN"/>
    </w:rPr>
  </w:style>
  <w:style w:type="paragraph" w:customStyle="1" w:styleId="12">
    <w:name w:val="列出段落1"/>
    <w:basedOn w:val="1"/>
    <w:qFormat/>
    <w:uiPriority w:val="34"/>
    <w:pPr>
      <w:ind w:firstLine="420" w:firstLineChars="200"/>
    </w:pPr>
  </w:style>
  <w:style w:type="paragraph" w:customStyle="1" w:styleId="13">
    <w:name w:val="列出段落11"/>
    <w:basedOn w:val="1"/>
    <w:qFormat/>
    <w:uiPriority w:val="34"/>
    <w:pPr>
      <w:ind w:firstLine="420" w:firstLineChars="200"/>
    </w:pPr>
    <w:rPr>
      <w:rFonts w:ascii="Calibri" w:hAnsi="Calibri"/>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Arial" w:hAnsi="Times New Roman" w:eastAsia="宋体" w:cs="Times New Roman"/>
      <w:sz w:val="21"/>
      <w:lang w:val="en-US" w:eastAsia="zh-CN" w:bidi="ar-SA"/>
    </w:rPr>
  </w:style>
  <w:style w:type="paragraph" w:customStyle="1" w:styleId="16">
    <w:name w:val="列项——（一级）"/>
    <w:qFormat/>
    <w:uiPriority w:val="0"/>
    <w:pPr>
      <w:widowControl w:val="0"/>
      <w:numPr>
        <w:ilvl w:val="0"/>
        <w:numId w:val="1"/>
      </w:numPr>
      <w:jc w:val="both"/>
    </w:pPr>
    <w:rPr>
      <w:rFonts w:ascii="Arial" w:hAnsi="Times New Roman" w:eastAsia="宋体" w:cs="Times New Roman"/>
      <w:sz w:val="21"/>
      <w:lang w:val="en-US" w:eastAsia="zh-CN" w:bidi="ar-SA"/>
    </w:rPr>
  </w:style>
  <w:style w:type="paragraph" w:customStyle="1" w:styleId="17">
    <w:name w:val="一级条标题"/>
    <w:basedOn w:val="18"/>
    <w:next w:val="15"/>
    <w:qFormat/>
    <w:uiPriority w:val="99"/>
    <w:pPr>
      <w:tabs>
        <w:tab w:val="left" w:pos="360"/>
      </w:tabs>
      <w:spacing w:before="156" w:beforeLines="50" w:after="156" w:afterLines="50"/>
      <w:outlineLvl w:val="2"/>
    </w:pPr>
    <w:rPr>
      <w:rFonts w:ascii="Courier New" w:eastAsia="Courier New"/>
      <w:sz w:val="21"/>
      <w:szCs w:val="21"/>
      <w:lang w:val="en-US" w:eastAsia="zh-CN" w:bidi="ar-SA"/>
    </w:rPr>
  </w:style>
  <w:style w:type="paragraph" w:customStyle="1" w:styleId="18">
    <w:name w:val="附录一级条标题"/>
    <w:basedOn w:val="19"/>
    <w:next w:val="15"/>
    <w:qFormat/>
    <w:uiPriority w:val="0"/>
    <w:pPr>
      <w:numPr>
        <w:ilvl w:val="0"/>
        <w:numId w:val="0"/>
      </w:numPr>
      <w:tabs>
        <w:tab w:val="left" w:pos="360"/>
      </w:tabs>
      <w:autoSpaceDN w:val="0"/>
      <w:spacing w:before="50" w:beforeLines="50" w:after="50" w:afterLines="50"/>
      <w:outlineLvl w:val="2"/>
    </w:pPr>
  </w:style>
  <w:style w:type="paragraph" w:customStyle="1" w:styleId="19">
    <w:name w:val="附录章标题"/>
    <w:next w:val="1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Courier New" w:hAnsi="Times New Roman" w:eastAsia="Courier New" w:cs="Times New Roman"/>
      <w:kern w:val="21"/>
      <w:sz w:val="21"/>
      <w:lang w:val="en-US" w:eastAsia="zh-CN" w:bidi="ar-SA"/>
    </w:rPr>
  </w:style>
  <w:style w:type="paragraph" w:customStyle="1" w:styleId="20">
    <w:name w:val="三级无"/>
    <w:basedOn w:val="21"/>
    <w:qFormat/>
    <w:uiPriority w:val="0"/>
    <w:pPr>
      <w:tabs>
        <w:tab w:val="left" w:pos="360"/>
      </w:tabs>
      <w:spacing w:before="0" w:beforeLines="0" w:after="0" w:afterLines="0"/>
    </w:pPr>
    <w:rPr>
      <w:rFonts w:ascii="Arial" w:eastAsia="Arial"/>
    </w:rPr>
  </w:style>
  <w:style w:type="paragraph" w:customStyle="1" w:styleId="21">
    <w:name w:val="三级条标题"/>
    <w:basedOn w:val="22"/>
    <w:next w:val="15"/>
    <w:qFormat/>
    <w:uiPriority w:val="99"/>
    <w:pPr>
      <w:numPr>
        <w:ilvl w:val="3"/>
        <w:numId w:val="3"/>
      </w:numPr>
      <w:tabs>
        <w:tab w:val="left" w:pos="360"/>
      </w:tabs>
      <w:outlineLvl w:val="4"/>
    </w:pPr>
  </w:style>
  <w:style w:type="paragraph" w:customStyle="1" w:styleId="22">
    <w:name w:val="二级条标题"/>
    <w:basedOn w:val="17"/>
    <w:next w:val="15"/>
    <w:qFormat/>
    <w:uiPriority w:val="99"/>
    <w:pPr>
      <w:numPr>
        <w:ilvl w:val="2"/>
        <w:numId w:val="3"/>
      </w:numPr>
      <w:spacing w:before="50" w:after="50"/>
      <w:outlineLvl w:val="3"/>
    </w:pPr>
    <w:rPr>
      <w:rFonts w:hAnsi="Courier New"/>
    </w:rPr>
  </w:style>
  <w:style w:type="paragraph" w:customStyle="1" w:styleId="23">
    <w:name w:val="二级无"/>
    <w:basedOn w:val="22"/>
    <w:qFormat/>
    <w:uiPriority w:val="0"/>
    <w:pPr>
      <w:spacing w:before="0" w:beforeLines="0" w:after="0" w:afterLines="0"/>
    </w:pPr>
    <w:rPr>
      <w:rFonts w:ascii="Arial" w:eastAsia="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3925</Words>
  <Characters>4701</Characters>
  <Lines>13</Lines>
  <Paragraphs>3</Paragraphs>
  <TotalTime>0</TotalTime>
  <ScaleCrop>false</ScaleCrop>
  <LinksUpToDate>false</LinksUpToDate>
  <CharactersWithSpaces>4819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2024-03-01T06:56:00Z</dcterms:created>
  <dc:creator>bian</dc:creator>
  <cp:lastModifiedBy>杨子林</cp:lastModifiedBy>
  <dcterms:modified xsi:type="dcterms:W3CDTF">2025-08-19T03:10:57Z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A0EFD8DDFAC442009B6BBC3755ECDF40_13</vt:lpwstr>
  </property>
  <property fmtid="{D5CDD505-2E9C-101B-9397-08002B2CF9AE}" pid="4" name="KSOTemplateDocerSaveRecord">
    <vt:lpwstr>eyJoZGlkIjoiMzc5NmZlNzA5ODYxNGUyOTRiZTU2ZGQ4ZmFhMDM0OGUiLCJ1c2VySWQiOiI0MDE3NjY5MzAifQ==</vt:lpwstr>
  </property>
</Properties>
</file>